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1"/>
        <w:gridCol w:w="5410"/>
      </w:tblGrid>
      <w:tr w:rsidR="00C50936" w:rsidRPr="00140A2F" w:rsidTr="0052150D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52150D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52150D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52150D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52150D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5F12B1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52150D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AB5A68" w:rsidRDefault="005F12B1" w:rsidP="008C5840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30</w:t>
                  </w:r>
                  <w:r w:rsidR="003D298B" w:rsidRPr="00AB5A6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 w:rsidRPr="00AB5A6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8C5840" w:rsidRPr="00AB5A6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6</w:t>
                  </w:r>
                  <w:r w:rsidR="003D298B" w:rsidRPr="00AB5A6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 w:rsidRPr="00AB5A68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AB5A68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B5A68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AB5A68" w:rsidRDefault="003D298B" w:rsidP="008C5840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5A6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07-03-</w:t>
                  </w:r>
                  <w:r w:rsidR="00140A2F" w:rsidRPr="00AB5A68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AB5A68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5F12B1">
                    <w:rPr>
                      <w:rFonts w:ascii="Arial" w:hAnsi="Arial" w:cs="Arial"/>
                      <w:b/>
                      <w:sz w:val="20"/>
                      <w:szCs w:val="20"/>
                    </w:rPr>
                    <w:t>3263</w:t>
                  </w:r>
                  <w:bookmarkStart w:id="0" w:name="_GoBack"/>
                  <w:bookmarkEnd w:id="0"/>
                </w:p>
              </w:tc>
            </w:tr>
            <w:tr w:rsidR="00C50936" w:rsidRPr="004F3845" w:rsidTr="0052150D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52150D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496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62"/>
            </w:tblGrid>
            <w:tr w:rsidR="00F445B4" w:rsidRPr="00140A2F" w:rsidTr="0052150D">
              <w:trPr>
                <w:trHeight w:val="4964"/>
              </w:trPr>
              <w:tc>
                <w:tcPr>
                  <w:tcW w:w="4962" w:type="dxa"/>
                </w:tcPr>
                <w:p w:rsidR="006861DF" w:rsidRPr="00BB524A" w:rsidRDefault="006861DF" w:rsidP="00BB524A">
                  <w:pPr>
                    <w:ind w:left="597"/>
                    <w:jc w:val="center"/>
                  </w:pP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709"/>
                    <w:jc w:val="center"/>
                    <w:outlineLvl w:val="0"/>
                    <w:rPr>
                      <w:rFonts w:eastAsia="Times New Roman"/>
                      <w:bCs/>
                    </w:rPr>
                  </w:pPr>
                  <w:r w:rsidRPr="00BB524A">
                    <w:rPr>
                      <w:rFonts w:eastAsia="Times New Roman"/>
                      <w:bCs/>
                    </w:rPr>
                    <w:t>Руководителю Федеральной антимонопольной службы</w:t>
                  </w: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709" w:firstLine="41"/>
                    <w:jc w:val="center"/>
                    <w:outlineLvl w:val="0"/>
                    <w:rPr>
                      <w:rFonts w:eastAsia="Times New Roman"/>
                      <w:b/>
                      <w:bCs/>
                      <w:i/>
                    </w:rPr>
                  </w:pP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709"/>
                    <w:jc w:val="center"/>
                    <w:outlineLvl w:val="0"/>
                    <w:rPr>
                      <w:rFonts w:eastAsia="Times New Roman"/>
                      <w:b/>
                      <w:bCs/>
                      <w:i/>
                    </w:rPr>
                  </w:pPr>
                  <w:r w:rsidRPr="00BB524A">
                    <w:rPr>
                      <w:rFonts w:eastAsia="Times New Roman"/>
                      <w:b/>
                      <w:bCs/>
                      <w:i/>
                    </w:rPr>
                    <w:t>Артемьеву И.Ю.</w:t>
                  </w: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b/>
                      <w:bCs/>
                    </w:rPr>
                  </w:pP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b/>
                      <w:bCs/>
                    </w:rPr>
                  </w:pPr>
                </w:p>
                <w:tbl>
                  <w:tblPr>
                    <w:tblW w:w="4810" w:type="dxa"/>
                    <w:tblInd w:w="96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6"/>
                    <w:gridCol w:w="3324"/>
                  </w:tblGrid>
                  <w:tr w:rsidR="00B53CB8" w:rsidRPr="00BB524A" w:rsidTr="0052150D">
                    <w:trPr>
                      <w:trHeight w:val="268"/>
                    </w:trPr>
                    <w:tc>
                      <w:tcPr>
                        <w:tcW w:w="1486" w:type="dxa"/>
                        <w:shd w:val="clear" w:color="auto" w:fill="auto"/>
                      </w:tcPr>
                      <w:p w:rsidR="00B53CB8" w:rsidRPr="00BB524A" w:rsidRDefault="00B53CB8" w:rsidP="005F12B1">
                        <w:pPr>
                          <w:framePr w:hSpace="180" w:wrap="around" w:vAnchor="text" w:hAnchor="margin" w:x="108" w:y="105"/>
                          <w:tabs>
                            <w:tab w:val="left" w:pos="2552"/>
                          </w:tabs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  <w:r w:rsidRPr="00BB524A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BB524A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</w:p>
                    </w:tc>
                    <w:tc>
                      <w:tcPr>
                        <w:tcW w:w="3324" w:type="dxa"/>
                        <w:shd w:val="clear" w:color="auto" w:fill="auto"/>
                      </w:tcPr>
                      <w:p w:rsidR="00B53CB8" w:rsidRPr="00BB524A" w:rsidRDefault="005F12B1" w:rsidP="005F12B1">
                        <w:pPr>
                          <w:framePr w:hSpace="180" w:wrap="around" w:vAnchor="text" w:hAnchor="margin" w:x="108" w:y="105"/>
                          <w:tabs>
                            <w:tab w:val="left" w:pos="2552"/>
                          </w:tabs>
                          <w:ind w:left="-260" w:firstLine="260"/>
                          <w:rPr>
                            <w:rFonts w:eastAsia="Times New Roman"/>
                            <w:color w:val="000000"/>
                          </w:rPr>
                        </w:pPr>
                        <w:hyperlink r:id="rId10" w:history="1"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delo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@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fas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gov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proofErr w:type="spellStart"/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F445B4" w:rsidRPr="00140A2F" w:rsidRDefault="00F445B4" w:rsidP="003D298B">
                  <w:pPr>
                    <w:widowControl w:val="0"/>
                    <w:ind w:left="142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</w:tbl>
          <w:p w:rsidR="0018107C" w:rsidRPr="00140A2F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</w:pPr>
          </w:p>
        </w:tc>
      </w:tr>
    </w:tbl>
    <w:p w:rsidR="00C50936" w:rsidRPr="00BB524A" w:rsidRDefault="00C50936" w:rsidP="00F445B4">
      <w:pPr>
        <w:rPr>
          <w:rFonts w:eastAsia="Times New Roman"/>
          <w:i/>
          <w:color w:val="000000"/>
        </w:rPr>
        <w:sectPr w:rsidR="00C50936" w:rsidRPr="00BB524A" w:rsidSect="00BB524A">
          <w:footerReference w:type="default" r:id="rId11"/>
          <w:headerReference w:type="first" r:id="rId12"/>
          <w:pgSz w:w="11907" w:h="16839" w:code="9"/>
          <w:pgMar w:top="1134" w:right="851" w:bottom="1134" w:left="1418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BB524A" w:rsidRDefault="00B53CB8" w:rsidP="00B53CB8">
      <w:pPr>
        <w:jc w:val="left"/>
        <w:rPr>
          <w:rFonts w:eastAsia="Times New Roman"/>
          <w:b/>
          <w:i/>
        </w:rPr>
      </w:pPr>
      <w:r w:rsidRPr="00BB524A">
        <w:rPr>
          <w:rFonts w:eastAsia="Times New Roman"/>
          <w:b/>
          <w:i/>
        </w:rPr>
        <w:t>Уведомление о размещении информации</w:t>
      </w:r>
    </w:p>
    <w:p w:rsidR="00B53CB8" w:rsidRPr="00BB524A" w:rsidRDefault="00B53CB8" w:rsidP="00B53CB8">
      <w:pPr>
        <w:jc w:val="left"/>
        <w:rPr>
          <w:rFonts w:eastAsia="Times New Roman"/>
          <w:b/>
          <w:i/>
        </w:rPr>
      </w:pPr>
      <w:r w:rsidRPr="00BB524A">
        <w:rPr>
          <w:rFonts w:eastAsia="Times New Roman"/>
          <w:b/>
          <w:i/>
        </w:rPr>
        <w:t>в соответствии со Стандартом раскрытия</w:t>
      </w:r>
    </w:p>
    <w:p w:rsidR="0039676A" w:rsidRPr="00140A2F" w:rsidRDefault="0039676A" w:rsidP="00210966">
      <w:pPr>
        <w:jc w:val="left"/>
      </w:pPr>
    </w:p>
    <w:p w:rsidR="00B53CB8" w:rsidRPr="00032CFB" w:rsidRDefault="00B53CB8" w:rsidP="00B53CB8">
      <w:pPr>
        <w:jc w:val="center"/>
        <w:rPr>
          <w:rFonts w:eastAsia="Times New Roman"/>
        </w:rPr>
      </w:pPr>
      <w:r w:rsidRPr="00032CFB">
        <w:rPr>
          <w:rFonts w:eastAsia="Times New Roman"/>
        </w:rPr>
        <w:t>Уважаемый Игорь Юрьевич!</w:t>
      </w:r>
    </w:p>
    <w:p w:rsidR="00B53CB8" w:rsidRPr="00032CFB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BB524A" w:rsidRDefault="00BB524A" w:rsidP="00BB524A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032CFB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вас о размещении </w:t>
      </w:r>
      <w:r w:rsidRPr="00AB5A68">
        <w:rPr>
          <w:rFonts w:eastAsia="Lucida Sans Unicode"/>
          <w:color w:val="000000" w:themeColor="text1"/>
          <w:kern w:val="1"/>
        </w:rPr>
        <w:t>2</w:t>
      </w:r>
      <w:r w:rsidR="00AB5A68">
        <w:rPr>
          <w:rFonts w:eastAsia="Lucida Sans Unicode"/>
          <w:color w:val="000000" w:themeColor="text1"/>
          <w:kern w:val="1"/>
        </w:rPr>
        <w:t>2</w:t>
      </w:r>
      <w:r w:rsidRPr="00AB5A68">
        <w:rPr>
          <w:rFonts w:eastAsia="Lucida Sans Unicode"/>
          <w:color w:val="000000" w:themeColor="text1"/>
          <w:kern w:val="1"/>
        </w:rPr>
        <w:t>.0</w:t>
      </w:r>
      <w:r w:rsidR="00AB5A68">
        <w:rPr>
          <w:rFonts w:eastAsia="Lucida Sans Unicode"/>
          <w:color w:val="000000" w:themeColor="text1"/>
          <w:kern w:val="1"/>
        </w:rPr>
        <w:t>6</w:t>
      </w:r>
      <w:r w:rsidRPr="00AB5A68">
        <w:rPr>
          <w:rFonts w:eastAsia="Lucida Sans Unicode"/>
          <w:color w:val="000000" w:themeColor="text1"/>
          <w:kern w:val="1"/>
        </w:rPr>
        <w:t>.2020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BB524A" w:rsidRPr="007D24D8" w:rsidRDefault="00BB524A" w:rsidP="00BB524A">
      <w:pPr>
        <w:ind w:firstLine="709"/>
        <w:rPr>
          <w:rFonts w:eastAsia="Lucida Sans Unicode"/>
          <w:kern w:val="1"/>
        </w:rPr>
      </w:pPr>
    </w:p>
    <w:p w:rsidR="00AB5A68" w:rsidRPr="00AB5A68" w:rsidRDefault="005F12B1" w:rsidP="00AB5A68">
      <w:pPr>
        <w:jc w:val="center"/>
        <w:rPr>
          <w:u w:val="single"/>
        </w:rPr>
      </w:pPr>
      <w:hyperlink r:id="rId14" w:history="1">
        <w:r w:rsidR="00AB5A68" w:rsidRPr="00AB5A68">
          <w:rPr>
            <w:rStyle w:val="a5"/>
          </w:rPr>
          <w:t>https://minenergo.gov.ru/system/download/4217/119292</w:t>
        </w:r>
      </w:hyperlink>
    </w:p>
    <w:p w:rsidR="00AB5A68" w:rsidRPr="00AB5A68" w:rsidRDefault="005F12B1" w:rsidP="00AB5A68">
      <w:pPr>
        <w:jc w:val="center"/>
      </w:pPr>
      <w:hyperlink r:id="rId15" w:history="1">
        <w:r w:rsidR="00AB5A68" w:rsidRPr="00AB5A68">
          <w:rPr>
            <w:rStyle w:val="a5"/>
          </w:rPr>
          <w:t>https://minenergo.gov.ru/system/download/4217/119293</w:t>
        </w:r>
      </w:hyperlink>
    </w:p>
    <w:p w:rsidR="00AB5A68" w:rsidRPr="00AB5A68" w:rsidRDefault="005F12B1" w:rsidP="00AB5A68">
      <w:pPr>
        <w:jc w:val="center"/>
      </w:pPr>
      <w:hyperlink r:id="rId16" w:history="1">
        <w:r w:rsidR="00AB5A68" w:rsidRPr="00AB5A68">
          <w:rPr>
            <w:rStyle w:val="a5"/>
          </w:rPr>
          <w:t>https://minenergo.gov.ru/system/download/4217/119294</w:t>
        </w:r>
      </w:hyperlink>
    </w:p>
    <w:p w:rsidR="00AB5A68" w:rsidRPr="00AB5A68" w:rsidRDefault="005F12B1" w:rsidP="00AB5A68">
      <w:pPr>
        <w:jc w:val="center"/>
      </w:pPr>
      <w:hyperlink r:id="rId17" w:history="1">
        <w:r w:rsidR="00AB5A68" w:rsidRPr="00AB5A68">
          <w:rPr>
            <w:rStyle w:val="a5"/>
          </w:rPr>
          <w:t>https://minenergo.gov.ru/system/download/4217/119296</w:t>
        </w:r>
      </w:hyperlink>
    </w:p>
    <w:p w:rsidR="00AB5A68" w:rsidRPr="00AB5A68" w:rsidRDefault="005F12B1" w:rsidP="00AB5A68">
      <w:pPr>
        <w:jc w:val="center"/>
      </w:pPr>
      <w:hyperlink r:id="rId18" w:history="1">
        <w:r w:rsidR="00AB5A68" w:rsidRPr="00AB5A68">
          <w:rPr>
            <w:rStyle w:val="a5"/>
          </w:rPr>
          <w:t>https://minenergo.gov.ru/system/download/4217/119297</w:t>
        </w:r>
      </w:hyperlink>
    </w:p>
    <w:p w:rsidR="00835E03" w:rsidRPr="00835E03" w:rsidRDefault="005F12B1" w:rsidP="00AB5A68">
      <w:pPr>
        <w:jc w:val="center"/>
      </w:pPr>
      <w:hyperlink r:id="rId19" w:history="1">
        <w:r w:rsidR="00AB5A68" w:rsidRPr="00AB5A68">
          <w:rPr>
            <w:rStyle w:val="a5"/>
          </w:rPr>
          <w:t>https://minenergo.gov.ru/system/download/4217/119298</w:t>
        </w:r>
      </w:hyperlink>
    </w:p>
    <w:p w:rsidR="00835E03" w:rsidRPr="00835E03" w:rsidRDefault="00621CD4" w:rsidP="00835E03">
      <w:pPr>
        <w:jc w:val="center"/>
      </w:pP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2A2D07" wp14:editId="56BE0600">
                <wp:simplePos x="0" y="0"/>
                <wp:positionH relativeFrom="column">
                  <wp:posOffset>2019300</wp:posOffset>
                </wp:positionH>
                <wp:positionV relativeFrom="paragraph">
                  <wp:posOffset>130810</wp:posOffset>
                </wp:positionV>
                <wp:extent cx="2705100" cy="192405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24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1CD4" w:rsidRDefault="00621CD4" w:rsidP="00621CD4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621CD4" w:rsidRDefault="00621CD4" w:rsidP="00621CD4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621CD4" w:rsidRDefault="00621CD4" w:rsidP="00621CD4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621CD4" w:rsidRDefault="00621CD4" w:rsidP="00621CD4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21CD4" w:rsidRDefault="00621CD4" w:rsidP="00621C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621CD4" w:rsidRDefault="00621CD4" w:rsidP="00621CD4">
                            <w:pPr>
                              <w:rPr>
                                <w:rFonts w:ascii="Calibri" w:hAnsi="Calibr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621CD4" w:rsidRDefault="00621CD4" w:rsidP="00621C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621CD4" w:rsidRDefault="00621CD4" w:rsidP="00621C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621CD4" w:rsidRDefault="00621CD4" w:rsidP="00621CD4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621CD4" w:rsidRDefault="00621CD4" w:rsidP="00621C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621CD4" w:rsidRDefault="00621CD4" w:rsidP="00621CD4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2A2D07" id="AutoShape 4" o:spid="_x0000_s1026" style="position:absolute;left:0;text-align:left;margin-left:159pt;margin-top:10.3pt;width:213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">
                <v:textbox>
                  <w:txbxContent>
                    <w:p w:rsidR="00621CD4" w:rsidRDefault="00621CD4" w:rsidP="00621CD4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621CD4" w:rsidRDefault="00621CD4" w:rsidP="00621CD4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621CD4" w:rsidRDefault="00621CD4" w:rsidP="00621CD4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621CD4" w:rsidRDefault="00621CD4" w:rsidP="00621CD4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21CD4" w:rsidRDefault="00621CD4" w:rsidP="00621C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621CD4" w:rsidRDefault="00621CD4" w:rsidP="00621CD4">
                      <w:pPr>
                        <w:rPr>
                          <w:rFonts w:ascii="Calibri" w:hAnsi="Calibri" w:cs="Courier"/>
                          <w:sz w:val="16"/>
                          <w:szCs w:val="16"/>
                          <w:lang w:eastAsia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№ </w:t>
                      </w:r>
                      <w:r>
                        <w:rPr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621CD4" w:rsidRDefault="00621CD4" w:rsidP="00621C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621CD4" w:rsidRDefault="00621CD4" w:rsidP="00621C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621CD4" w:rsidRDefault="00621CD4" w:rsidP="00621CD4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621CD4" w:rsidRDefault="00621CD4" w:rsidP="00621C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621CD4" w:rsidRDefault="00621CD4" w:rsidP="00621CD4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BB524A" w:rsidRPr="007D24D8" w:rsidRDefault="00BB524A" w:rsidP="00BB524A">
      <w:pPr>
        <w:jc w:val="center"/>
      </w:pPr>
    </w:p>
    <w:p w:rsidR="00BB524A" w:rsidRDefault="00BB524A" w:rsidP="00BB524A"/>
    <w:p w:rsidR="00BB524A" w:rsidRPr="007D24D8" w:rsidRDefault="00BB524A" w:rsidP="00BB524A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BB524A" w:rsidRPr="007D24D8" w:rsidRDefault="00BB524A" w:rsidP="00BB524A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BB524A" w:rsidRPr="007D24D8" w:rsidRDefault="00BB524A" w:rsidP="00BB524A"/>
    <w:p w:rsidR="00BB524A" w:rsidRDefault="00BB524A" w:rsidP="00BB524A"/>
    <w:p w:rsidR="00BB524A" w:rsidRDefault="00BB524A" w:rsidP="00BB524A"/>
    <w:p w:rsidR="00BB524A" w:rsidRDefault="00BB524A" w:rsidP="00BB524A"/>
    <w:p w:rsidR="00BB524A" w:rsidRPr="007D24D8" w:rsidRDefault="00BB524A" w:rsidP="00BB524A">
      <w:pPr>
        <w:rPr>
          <w:sz w:val="20"/>
          <w:szCs w:val="20"/>
        </w:rPr>
      </w:pPr>
    </w:p>
    <w:p w:rsidR="00BB524A" w:rsidRPr="007D24D8" w:rsidRDefault="00BB524A" w:rsidP="00BB524A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BB524A" w:rsidRPr="009B5308" w:rsidRDefault="00BB524A" w:rsidP="00BB524A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</w:p>
    <w:p w:rsidR="00BB524A" w:rsidRPr="00B53CB8" w:rsidRDefault="00BB524A" w:rsidP="00B53CB8">
      <w:pPr>
        <w:jc w:val="center"/>
        <w:rPr>
          <w:rFonts w:eastAsia="Times New Roman"/>
          <w:sz w:val="24"/>
          <w:szCs w:val="24"/>
        </w:rPr>
      </w:pPr>
    </w:p>
    <w:sectPr w:rsidR="00BB524A" w:rsidRPr="00B53CB8" w:rsidSect="00BB524A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A24" w:rsidRDefault="00181A24" w:rsidP="00704FA1">
      <w:r>
        <w:separator/>
      </w:r>
    </w:p>
  </w:endnote>
  <w:endnote w:type="continuationSeparator" w:id="0">
    <w:p w:rsidR="00181A24" w:rsidRDefault="00181A24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A24" w:rsidRDefault="00181A24" w:rsidP="00704FA1">
      <w:r>
        <w:separator/>
      </w:r>
    </w:p>
  </w:footnote>
  <w:footnote w:type="continuationSeparator" w:id="0">
    <w:p w:rsidR="00181A24" w:rsidRDefault="00181A24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2CFB"/>
    <w:rsid w:val="00035687"/>
    <w:rsid w:val="00056C60"/>
    <w:rsid w:val="00060F72"/>
    <w:rsid w:val="000E44BD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1A24"/>
    <w:rsid w:val="001848BF"/>
    <w:rsid w:val="001A1569"/>
    <w:rsid w:val="001C0DF4"/>
    <w:rsid w:val="001D2C5A"/>
    <w:rsid w:val="00210966"/>
    <w:rsid w:val="0022256D"/>
    <w:rsid w:val="00234E51"/>
    <w:rsid w:val="002C5849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D298B"/>
    <w:rsid w:val="003F0E3D"/>
    <w:rsid w:val="003F0E5F"/>
    <w:rsid w:val="00406A6F"/>
    <w:rsid w:val="00443A3A"/>
    <w:rsid w:val="00455368"/>
    <w:rsid w:val="00464632"/>
    <w:rsid w:val="00470DD3"/>
    <w:rsid w:val="00495E28"/>
    <w:rsid w:val="00520664"/>
    <w:rsid w:val="0052150D"/>
    <w:rsid w:val="0059408C"/>
    <w:rsid w:val="005B5005"/>
    <w:rsid w:val="005B7730"/>
    <w:rsid w:val="005C3CD2"/>
    <w:rsid w:val="005F12B1"/>
    <w:rsid w:val="00607BFF"/>
    <w:rsid w:val="00621CD4"/>
    <w:rsid w:val="00626F50"/>
    <w:rsid w:val="00633D4B"/>
    <w:rsid w:val="0064120A"/>
    <w:rsid w:val="00683BA4"/>
    <w:rsid w:val="006861DF"/>
    <w:rsid w:val="006E1325"/>
    <w:rsid w:val="006E5F58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7521"/>
    <w:rsid w:val="007C10DB"/>
    <w:rsid w:val="007D3FD2"/>
    <w:rsid w:val="007D460D"/>
    <w:rsid w:val="007D4733"/>
    <w:rsid w:val="007E5F13"/>
    <w:rsid w:val="00801223"/>
    <w:rsid w:val="0080363E"/>
    <w:rsid w:val="00806DEB"/>
    <w:rsid w:val="008339FF"/>
    <w:rsid w:val="00835E03"/>
    <w:rsid w:val="008A5F00"/>
    <w:rsid w:val="008B35C3"/>
    <w:rsid w:val="008B42AA"/>
    <w:rsid w:val="008C5840"/>
    <w:rsid w:val="008E45D3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A165B5"/>
    <w:rsid w:val="00A32DB3"/>
    <w:rsid w:val="00A43BBB"/>
    <w:rsid w:val="00A80BCE"/>
    <w:rsid w:val="00A87868"/>
    <w:rsid w:val="00AA5893"/>
    <w:rsid w:val="00AA5B9C"/>
    <w:rsid w:val="00AB0292"/>
    <w:rsid w:val="00AB5A68"/>
    <w:rsid w:val="00AE0D76"/>
    <w:rsid w:val="00AF07E9"/>
    <w:rsid w:val="00B53CB8"/>
    <w:rsid w:val="00BB524A"/>
    <w:rsid w:val="00BD4EB9"/>
    <w:rsid w:val="00BE0FA3"/>
    <w:rsid w:val="00BE1C9D"/>
    <w:rsid w:val="00BF5CE2"/>
    <w:rsid w:val="00BF6258"/>
    <w:rsid w:val="00C001C3"/>
    <w:rsid w:val="00C03CBC"/>
    <w:rsid w:val="00C24EA5"/>
    <w:rsid w:val="00C25E0E"/>
    <w:rsid w:val="00C36889"/>
    <w:rsid w:val="00C50936"/>
    <w:rsid w:val="00C578FF"/>
    <w:rsid w:val="00C809E9"/>
    <w:rsid w:val="00C8381F"/>
    <w:rsid w:val="00CA7184"/>
    <w:rsid w:val="00CC44CC"/>
    <w:rsid w:val="00CD43EC"/>
    <w:rsid w:val="00CF219C"/>
    <w:rsid w:val="00D13F6D"/>
    <w:rsid w:val="00D210D6"/>
    <w:rsid w:val="00D229D2"/>
    <w:rsid w:val="00D36228"/>
    <w:rsid w:val="00D45291"/>
    <w:rsid w:val="00D50B49"/>
    <w:rsid w:val="00D67CE8"/>
    <w:rsid w:val="00D73296"/>
    <w:rsid w:val="00D8165C"/>
    <w:rsid w:val="00DD72E1"/>
    <w:rsid w:val="00DE6215"/>
    <w:rsid w:val="00DF00B0"/>
    <w:rsid w:val="00E05F81"/>
    <w:rsid w:val="00E140B4"/>
    <w:rsid w:val="00E146A2"/>
    <w:rsid w:val="00E400DE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376"/>
    <w:rsid w:val="00F445B4"/>
    <w:rsid w:val="00FA1342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527C72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929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929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929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9293" TargetMode="External"/><Relationship Id="rId10" Type="http://schemas.openxmlformats.org/officeDocument/2006/relationships/hyperlink" Target="mailto:delo@fas.gov.ru" TargetMode="External"/><Relationship Id="rId19" Type="http://schemas.openxmlformats.org/officeDocument/2006/relationships/hyperlink" Target="https://minenergo.gov.ru/system/download/4217/1192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9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C4941-ADFF-45C4-B5A4-B6B88814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Бичевина Тамара Николаевна</cp:lastModifiedBy>
  <cp:revision>21</cp:revision>
  <cp:lastPrinted>2020-01-30T04:24:00Z</cp:lastPrinted>
  <dcterms:created xsi:type="dcterms:W3CDTF">2020-02-14T04:48:00Z</dcterms:created>
  <dcterms:modified xsi:type="dcterms:W3CDTF">2020-06-30T01:29:00Z</dcterms:modified>
</cp:coreProperties>
</file>