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3576C">
        <w:rPr>
          <w:b/>
          <w:bCs/>
          <w:caps/>
          <w:sz w:val="36"/>
          <w:szCs w:val="36"/>
        </w:rPr>
        <w:t>1/</w:t>
      </w:r>
      <w:r w:rsidR="00C94E41">
        <w:rPr>
          <w:b/>
          <w:bCs/>
          <w:caps/>
          <w:sz w:val="36"/>
          <w:szCs w:val="36"/>
        </w:rPr>
        <w:t>Р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F3576C" w:rsidRDefault="00F3576C" w:rsidP="00F3576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094132">
        <w:rPr>
          <w:b/>
          <w:bCs/>
          <w:i/>
          <w:sz w:val="26"/>
          <w:szCs w:val="26"/>
        </w:rPr>
        <w:t>Грузовой автомобиль с бурильно-крановой установкой и автоподъемником</w:t>
      </w:r>
      <w:r w:rsidRPr="00723532">
        <w:rPr>
          <w:b/>
          <w:bCs/>
          <w:i/>
          <w:sz w:val="26"/>
          <w:szCs w:val="26"/>
        </w:rPr>
        <w:t>»</w:t>
      </w:r>
    </w:p>
    <w:p w:rsidR="00DD044A" w:rsidRPr="000F4C5B" w:rsidRDefault="00F3576C" w:rsidP="00F3576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094132">
        <w:rPr>
          <w:sz w:val="26"/>
          <w:szCs w:val="26"/>
        </w:rPr>
        <w:t>402901-ТПИР ОНМ-2023-ДРСК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3576C" w:rsidP="00F3576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апреля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F3576C" w:rsidRDefault="0004641A" w:rsidP="0021546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F3576C" w:rsidRPr="00F3576C">
        <w:rPr>
          <w:b/>
          <w:sz w:val="24"/>
        </w:rPr>
        <w:t>32312149828</w:t>
      </w:r>
    </w:p>
    <w:p w:rsidR="00F3576C" w:rsidRDefault="00F3576C" w:rsidP="0021546E">
      <w:pPr>
        <w:pStyle w:val="a6"/>
        <w:spacing w:line="240" w:lineRule="auto"/>
        <w:rPr>
          <w:b/>
          <w:sz w:val="24"/>
        </w:rPr>
      </w:pP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3576C" w:rsidRPr="00F3576C">
        <w:rPr>
          <w:b/>
          <w:i/>
          <w:sz w:val="24"/>
        </w:rPr>
        <w:t>Грузовой автомобиль с бурильно-крановой установкой и автоподъемником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3576C" w:rsidRPr="00F3576C">
        <w:rPr>
          <w:sz w:val="24"/>
        </w:rPr>
        <w:t>402901-ТПИР ОНМ-2023-ДРСК</w:t>
      </w:r>
    </w:p>
    <w:p w:rsidR="00F3576C" w:rsidRDefault="00F3576C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3576C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3576C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D044A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F3576C" w:rsidRPr="00D41231" w:rsidTr="00BB2F93">
        <w:tc>
          <w:tcPr>
            <w:tcW w:w="285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F3576C" w:rsidRPr="00D41231" w:rsidTr="00BB2F93">
        <w:tc>
          <w:tcPr>
            <w:tcW w:w="285" w:type="pct"/>
            <w:shd w:val="clear" w:color="auto" w:fill="auto"/>
          </w:tcPr>
          <w:p w:rsidR="00F3576C" w:rsidRPr="00D41231" w:rsidRDefault="00F3576C" w:rsidP="00BB2F93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13.03.2023 13:25</w:t>
            </w:r>
          </w:p>
        </w:tc>
        <w:tc>
          <w:tcPr>
            <w:tcW w:w="2318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140524</w:t>
            </w:r>
          </w:p>
        </w:tc>
        <w:tc>
          <w:tcPr>
            <w:tcW w:w="954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27 108 333,33</w:t>
            </w:r>
          </w:p>
        </w:tc>
      </w:tr>
      <w:tr w:rsidR="00F3576C" w:rsidRPr="00D41231" w:rsidTr="00BB2F93">
        <w:tc>
          <w:tcPr>
            <w:tcW w:w="285" w:type="pct"/>
            <w:shd w:val="clear" w:color="auto" w:fill="auto"/>
          </w:tcPr>
          <w:p w:rsidR="00F3576C" w:rsidRPr="00D41231" w:rsidRDefault="00F3576C" w:rsidP="00BB2F93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14.03.2023 12:51</w:t>
            </w:r>
          </w:p>
        </w:tc>
        <w:tc>
          <w:tcPr>
            <w:tcW w:w="2318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140944</w:t>
            </w:r>
          </w:p>
        </w:tc>
        <w:tc>
          <w:tcPr>
            <w:tcW w:w="954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27 108 333,33</w:t>
            </w:r>
          </w:p>
        </w:tc>
      </w:tr>
      <w:tr w:rsidR="00F3576C" w:rsidRPr="00D41231" w:rsidTr="00BB2F93">
        <w:tc>
          <w:tcPr>
            <w:tcW w:w="285" w:type="pct"/>
            <w:shd w:val="clear" w:color="auto" w:fill="auto"/>
          </w:tcPr>
          <w:p w:rsidR="00F3576C" w:rsidRPr="00D41231" w:rsidRDefault="00F3576C" w:rsidP="00BB2F93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1443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20.03.2023 11:17</w:t>
            </w:r>
          </w:p>
        </w:tc>
        <w:tc>
          <w:tcPr>
            <w:tcW w:w="2318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143216</w:t>
            </w:r>
          </w:p>
        </w:tc>
        <w:tc>
          <w:tcPr>
            <w:tcW w:w="954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27 108 000,00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3576C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F3576C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F3576C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3576C" w:rsidRDefault="00F3576C" w:rsidP="00F3576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8F5CBB">
        <w:rPr>
          <w:sz w:val="24"/>
        </w:rPr>
        <w:t xml:space="preserve">О рассмотрении </w:t>
      </w:r>
      <w:r w:rsidRPr="00B01741">
        <w:rPr>
          <w:sz w:val="24"/>
        </w:rPr>
        <w:t>результатов оценки заявок</w:t>
      </w:r>
    </w:p>
    <w:p w:rsidR="00F3576C" w:rsidRPr="00094132" w:rsidRDefault="00F3576C" w:rsidP="00F3576C">
      <w:pPr>
        <w:pStyle w:val="21"/>
        <w:numPr>
          <w:ilvl w:val="0"/>
          <w:numId w:val="2"/>
        </w:numPr>
        <w:ind w:left="851"/>
        <w:rPr>
          <w:rStyle w:val="af7"/>
          <w:bCs/>
          <w:iCs/>
          <w:color w:val="auto"/>
          <w:sz w:val="24"/>
        </w:rPr>
      </w:pPr>
      <w:r w:rsidRPr="00094132">
        <w:rPr>
          <w:sz w:val="24"/>
        </w:rPr>
        <w:t>Об отклонении заявки Участника</w:t>
      </w:r>
      <w:r w:rsidRPr="00094132">
        <w:rPr>
          <w:b/>
          <w:sz w:val="24"/>
        </w:rPr>
        <w:t xml:space="preserve"> </w:t>
      </w:r>
      <w:r w:rsidRPr="00094132">
        <w:rPr>
          <w:sz w:val="24"/>
        </w:rPr>
        <w:t>№ 140524/ ООО "</w:t>
      </w:r>
      <w:proofErr w:type="spellStart"/>
      <w:r w:rsidRPr="00094132">
        <w:rPr>
          <w:sz w:val="24"/>
        </w:rPr>
        <w:t>Раритэк</w:t>
      </w:r>
      <w:proofErr w:type="spellEnd"/>
      <w:r w:rsidRPr="00094132">
        <w:rPr>
          <w:sz w:val="24"/>
        </w:rPr>
        <w:t xml:space="preserve"> Авто Групп"</w:t>
      </w:r>
      <w:r>
        <w:rPr>
          <w:rStyle w:val="af7"/>
          <w:rFonts w:eastAsiaTheme="minorHAnsi"/>
        </w:rPr>
        <w:t xml:space="preserve"> </w:t>
      </w:r>
    </w:p>
    <w:p w:rsidR="00F3576C" w:rsidRPr="00094132" w:rsidRDefault="00F3576C" w:rsidP="00F3576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094132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F3576C" w:rsidRPr="001B1DB5" w:rsidRDefault="00F3576C" w:rsidP="00F3576C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3576C" w:rsidRPr="00455714" w:rsidRDefault="00F3576C" w:rsidP="00F3576C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3576C" w:rsidRPr="00455714" w:rsidRDefault="00F3576C" w:rsidP="00F3576C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F3576C" w:rsidRPr="00D41231" w:rsidTr="00BB2F93">
        <w:tc>
          <w:tcPr>
            <w:tcW w:w="285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F3576C" w:rsidRPr="00D41231" w:rsidTr="00BB2F93">
        <w:tc>
          <w:tcPr>
            <w:tcW w:w="285" w:type="pct"/>
            <w:shd w:val="clear" w:color="auto" w:fill="auto"/>
          </w:tcPr>
          <w:p w:rsidR="00F3576C" w:rsidRPr="00D41231" w:rsidRDefault="00F3576C" w:rsidP="00BB2F93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13.03.2023 13:25</w:t>
            </w:r>
          </w:p>
        </w:tc>
        <w:tc>
          <w:tcPr>
            <w:tcW w:w="2318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140524</w:t>
            </w:r>
          </w:p>
        </w:tc>
        <w:tc>
          <w:tcPr>
            <w:tcW w:w="954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27 108 333,33</w:t>
            </w:r>
          </w:p>
        </w:tc>
      </w:tr>
      <w:tr w:rsidR="00F3576C" w:rsidRPr="00D41231" w:rsidTr="00BB2F93">
        <w:tc>
          <w:tcPr>
            <w:tcW w:w="285" w:type="pct"/>
            <w:shd w:val="clear" w:color="auto" w:fill="auto"/>
          </w:tcPr>
          <w:p w:rsidR="00F3576C" w:rsidRPr="00D41231" w:rsidRDefault="00F3576C" w:rsidP="00BB2F93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14.03.2023 12:51</w:t>
            </w:r>
          </w:p>
        </w:tc>
        <w:tc>
          <w:tcPr>
            <w:tcW w:w="2318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140944</w:t>
            </w:r>
          </w:p>
        </w:tc>
        <w:tc>
          <w:tcPr>
            <w:tcW w:w="954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27 108 333,33</w:t>
            </w:r>
          </w:p>
        </w:tc>
      </w:tr>
      <w:tr w:rsidR="00F3576C" w:rsidRPr="00D41231" w:rsidTr="00BB2F93">
        <w:tc>
          <w:tcPr>
            <w:tcW w:w="285" w:type="pct"/>
            <w:shd w:val="clear" w:color="auto" w:fill="auto"/>
          </w:tcPr>
          <w:p w:rsidR="00F3576C" w:rsidRPr="00D41231" w:rsidRDefault="00F3576C" w:rsidP="00BB2F93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1443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20.03.2023 11:17</w:t>
            </w:r>
          </w:p>
        </w:tc>
        <w:tc>
          <w:tcPr>
            <w:tcW w:w="2318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143216</w:t>
            </w:r>
          </w:p>
        </w:tc>
        <w:tc>
          <w:tcPr>
            <w:tcW w:w="954" w:type="pct"/>
            <w:shd w:val="clear" w:color="auto" w:fill="auto"/>
          </w:tcPr>
          <w:p w:rsidR="00F3576C" w:rsidRPr="00094132" w:rsidRDefault="00F3576C" w:rsidP="00BB2F93">
            <w:pPr>
              <w:pStyle w:val="13"/>
            </w:pPr>
            <w:r w:rsidRPr="00094132">
              <w:rPr>
                <w:rStyle w:val="af7"/>
                <w:rFonts w:eastAsiaTheme="minorHAnsi"/>
                <w:color w:val="auto"/>
              </w:rPr>
              <w:t>27 108 000,00</w:t>
            </w:r>
          </w:p>
        </w:tc>
      </w:tr>
    </w:tbl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F3576C" w:rsidRPr="008E0518" w:rsidRDefault="00F3576C" w:rsidP="00F3576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72638D">
        <w:rPr>
          <w:sz w:val="24"/>
          <w:szCs w:val="24"/>
        </w:rPr>
        <w:t xml:space="preserve">заявку </w:t>
      </w:r>
      <w:r w:rsidRPr="001820EF">
        <w:rPr>
          <w:sz w:val="24"/>
          <w:szCs w:val="24"/>
        </w:rPr>
        <w:t>Участника №</w:t>
      </w:r>
      <w:r w:rsidRPr="008C095B">
        <w:rPr>
          <w:sz w:val="24"/>
          <w:szCs w:val="24"/>
        </w:rPr>
        <w:t>140524/ООО "</w:t>
      </w:r>
      <w:proofErr w:type="spellStart"/>
      <w:r w:rsidRPr="008C095B">
        <w:rPr>
          <w:sz w:val="24"/>
          <w:szCs w:val="24"/>
        </w:rPr>
        <w:t>Раритэк</w:t>
      </w:r>
      <w:proofErr w:type="spellEnd"/>
      <w:r w:rsidRPr="008C095B">
        <w:rPr>
          <w:sz w:val="24"/>
          <w:szCs w:val="24"/>
        </w:rPr>
        <w:t xml:space="preserve"> Авто Групп"</w:t>
      </w:r>
      <w:r w:rsidRPr="001820EF">
        <w:rPr>
          <w:sz w:val="24"/>
          <w:szCs w:val="24"/>
        </w:rPr>
        <w:t xml:space="preserve"> от дальнейшего рассмотрения на </w:t>
      </w:r>
      <w:r w:rsidRPr="008E0518">
        <w:rPr>
          <w:sz w:val="24"/>
          <w:szCs w:val="24"/>
        </w:rPr>
        <w:t xml:space="preserve">основании </w:t>
      </w:r>
      <w:proofErr w:type="spellStart"/>
      <w:r w:rsidRPr="008E0518">
        <w:rPr>
          <w:sz w:val="24"/>
          <w:szCs w:val="24"/>
        </w:rPr>
        <w:t>пп</w:t>
      </w:r>
      <w:proofErr w:type="spellEnd"/>
      <w:r w:rsidRPr="008E0518">
        <w:rPr>
          <w:sz w:val="24"/>
          <w:szCs w:val="24"/>
        </w:rPr>
        <w:t xml:space="preserve">. г), </w:t>
      </w:r>
      <w:proofErr w:type="spellStart"/>
      <w:r w:rsidRPr="008E0518">
        <w:rPr>
          <w:sz w:val="24"/>
          <w:szCs w:val="24"/>
        </w:rPr>
        <w:t>пп</w:t>
      </w:r>
      <w:proofErr w:type="spellEnd"/>
      <w:r w:rsidRPr="008E0518">
        <w:rPr>
          <w:sz w:val="24"/>
          <w:szCs w:val="24"/>
        </w:rPr>
        <w:t>. а) п. 4.9.6 Документации о закупке, как несоответствующую следующим требованиям:</w:t>
      </w:r>
    </w:p>
    <w:tbl>
      <w:tblPr>
        <w:tblW w:w="9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788"/>
      </w:tblGrid>
      <w:tr w:rsidR="00F3576C" w:rsidTr="00BB2F93">
        <w:trPr>
          <w:trHeight w:val="32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6C" w:rsidRDefault="00F3576C" w:rsidP="00BB2F9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6C" w:rsidRDefault="00F3576C" w:rsidP="00BB2F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F3576C" w:rsidTr="00BB2F9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6C" w:rsidRPr="00443E62" w:rsidRDefault="00F3576C" w:rsidP="00F3576C">
            <w:pPr>
              <w:pStyle w:val="a9"/>
              <w:numPr>
                <w:ilvl w:val="6"/>
                <w:numId w:val="47"/>
              </w:numPr>
              <w:tabs>
                <w:tab w:val="clear" w:pos="5040"/>
                <w:tab w:val="num" w:pos="4738"/>
              </w:tabs>
              <w:spacing w:line="240" w:lineRule="auto"/>
              <w:ind w:left="60" w:hanging="19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6C" w:rsidRPr="008C095B" w:rsidRDefault="00F3576C" w:rsidP="00BB2F93">
            <w:pPr>
              <w:spacing w:line="240" w:lineRule="auto"/>
              <w:rPr>
                <w:sz w:val="24"/>
                <w:szCs w:val="24"/>
              </w:rPr>
            </w:pPr>
            <w:r w:rsidRPr="008C095B">
              <w:rPr>
                <w:sz w:val="24"/>
                <w:szCs w:val="24"/>
              </w:rPr>
              <w:t>Участник в составе заявки указал значение максимальной высоты подъема люльки 21.8 м</w:t>
            </w:r>
            <w:r w:rsidRPr="008C095B">
              <w:rPr>
                <w:rFonts w:eastAsia="Calibri"/>
                <w:sz w:val="24"/>
                <w:szCs w:val="24"/>
              </w:rPr>
              <w:t xml:space="preserve">, </w:t>
            </w:r>
            <w:r w:rsidRPr="008C095B">
              <w:rPr>
                <w:sz w:val="24"/>
                <w:szCs w:val="24"/>
              </w:rPr>
              <w:t xml:space="preserve">что не соответствует требованиям п. 1.16. таблицы № 3. Технических требований, где указано: </w:t>
            </w:r>
            <w:r w:rsidRPr="008C095B">
              <w:rPr>
                <w:i/>
                <w:sz w:val="24"/>
                <w:szCs w:val="24"/>
              </w:rPr>
              <w:t>«Максимальная высота подъема люльки должна быть не менее 22м».</w:t>
            </w:r>
          </w:p>
        </w:tc>
      </w:tr>
      <w:tr w:rsidR="00F3576C" w:rsidTr="00BB2F9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6C" w:rsidRPr="00443E62" w:rsidRDefault="00F3576C" w:rsidP="00F3576C">
            <w:pPr>
              <w:pStyle w:val="a9"/>
              <w:numPr>
                <w:ilvl w:val="6"/>
                <w:numId w:val="47"/>
              </w:numPr>
              <w:tabs>
                <w:tab w:val="clear" w:pos="5040"/>
                <w:tab w:val="num" w:pos="4738"/>
              </w:tabs>
              <w:spacing w:line="240" w:lineRule="auto"/>
              <w:ind w:left="60" w:hanging="19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6C" w:rsidRPr="008C095B" w:rsidRDefault="00F3576C" w:rsidP="00BB2F93">
            <w:pPr>
              <w:spacing w:line="240" w:lineRule="auto"/>
              <w:rPr>
                <w:sz w:val="24"/>
                <w:szCs w:val="24"/>
              </w:rPr>
            </w:pPr>
            <w:r w:rsidRPr="008C095B">
              <w:rPr>
                <w:sz w:val="24"/>
                <w:szCs w:val="24"/>
              </w:rPr>
              <w:t xml:space="preserve">Участник в составе заявки указал значение вылета телескопической стрелы кранового оборудования 18.9м, что не соответствует требованиям п. 1.17. таблицы № 3. Технических требований, где указано: </w:t>
            </w:r>
            <w:r w:rsidRPr="008C095B">
              <w:rPr>
                <w:i/>
                <w:sz w:val="24"/>
                <w:szCs w:val="24"/>
              </w:rPr>
              <w:t>«Вылет телескопической стрелы кранового оборудования должен быть не менее 21м».</w:t>
            </w:r>
          </w:p>
        </w:tc>
      </w:tr>
      <w:tr w:rsidR="00F3576C" w:rsidTr="00BB2F9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6C" w:rsidRPr="00443E62" w:rsidRDefault="00F3576C" w:rsidP="00F3576C">
            <w:pPr>
              <w:pStyle w:val="a9"/>
              <w:numPr>
                <w:ilvl w:val="6"/>
                <w:numId w:val="47"/>
              </w:numPr>
              <w:tabs>
                <w:tab w:val="clear" w:pos="5040"/>
                <w:tab w:val="num" w:pos="4738"/>
              </w:tabs>
              <w:spacing w:line="240" w:lineRule="auto"/>
              <w:ind w:left="60" w:hanging="19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6C" w:rsidRPr="008C095B" w:rsidRDefault="00F3576C" w:rsidP="00BB2F93">
            <w:pPr>
              <w:spacing w:line="240" w:lineRule="auto"/>
              <w:rPr>
                <w:sz w:val="24"/>
                <w:szCs w:val="24"/>
              </w:rPr>
            </w:pPr>
            <w:r w:rsidRPr="008C095B">
              <w:rPr>
                <w:sz w:val="24"/>
                <w:szCs w:val="24"/>
              </w:rPr>
              <w:t xml:space="preserve">Участник в составе заявки не представил копию сертификата </w:t>
            </w:r>
            <w:r w:rsidRPr="008C095B">
              <w:rPr>
                <w:rFonts w:eastAsia="Calibri"/>
                <w:sz w:val="24"/>
                <w:szCs w:val="24"/>
              </w:rPr>
              <w:t>о соответствии требованиям технического регламента таможенного союза ТР ТС 010/2011 «О безопасности машин и оборудования»</w:t>
            </w:r>
            <w:r w:rsidRPr="008C095B">
              <w:rPr>
                <w:sz w:val="24"/>
                <w:szCs w:val="24"/>
              </w:rPr>
              <w:t xml:space="preserve">, что не соответствует требованиям п. 2.2. таблицы № 3. Технических требований, где указано: </w:t>
            </w:r>
            <w:r w:rsidRPr="008C095B">
              <w:rPr>
                <w:i/>
                <w:sz w:val="24"/>
                <w:szCs w:val="24"/>
              </w:rPr>
              <w:t>«В составе заявки участника должны быть предоставлена к</w:t>
            </w:r>
            <w:r w:rsidRPr="008C095B">
              <w:rPr>
                <w:rFonts w:eastAsia="Calibri"/>
                <w:i/>
                <w:sz w:val="24"/>
                <w:szCs w:val="24"/>
              </w:rPr>
              <w:t>опия сертификата о соответствии требованиям технического регламента таможенного союза ТР ТС 010/2011 «О безопасности машин и оборудования»</w:t>
            </w:r>
            <w:r w:rsidRPr="008C095B">
              <w:rPr>
                <w:i/>
                <w:sz w:val="24"/>
                <w:szCs w:val="24"/>
              </w:rPr>
              <w:t>.</w:t>
            </w:r>
          </w:p>
        </w:tc>
      </w:tr>
      <w:tr w:rsidR="00F3576C" w:rsidTr="00BB2F9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6C" w:rsidRPr="00443E62" w:rsidRDefault="00F3576C" w:rsidP="00F3576C">
            <w:pPr>
              <w:pStyle w:val="a9"/>
              <w:numPr>
                <w:ilvl w:val="6"/>
                <w:numId w:val="47"/>
              </w:numPr>
              <w:tabs>
                <w:tab w:val="clear" w:pos="5040"/>
                <w:tab w:val="num" w:pos="4738"/>
              </w:tabs>
              <w:spacing w:line="240" w:lineRule="auto"/>
              <w:ind w:left="60" w:hanging="19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6C" w:rsidRPr="008C095B" w:rsidRDefault="00F3576C" w:rsidP="00BB2F93">
            <w:pPr>
              <w:spacing w:line="240" w:lineRule="auto"/>
              <w:rPr>
                <w:sz w:val="24"/>
                <w:szCs w:val="24"/>
              </w:rPr>
            </w:pPr>
            <w:r w:rsidRPr="008C095B">
              <w:rPr>
                <w:sz w:val="24"/>
                <w:szCs w:val="24"/>
              </w:rPr>
              <w:t xml:space="preserve">В составе заявки участника выявлены внутренние противоречия между различными частями и документами заявки: в п. 1.3. технического предложения участника указан </w:t>
            </w:r>
            <w:r w:rsidRPr="008C095B">
              <w:rPr>
                <w:iCs/>
                <w:sz w:val="24"/>
                <w:szCs w:val="24"/>
              </w:rPr>
              <w:t xml:space="preserve">специальный автомобиль, оснащенный КМУ 732407, так же в форме Коммерческого предложения Участка Структура НМЦ также указан специальный автомобиль КМУ 732407. </w:t>
            </w:r>
            <w:r w:rsidRPr="008C095B">
              <w:rPr>
                <w:sz w:val="24"/>
                <w:szCs w:val="24"/>
              </w:rPr>
              <w:t xml:space="preserve">В прилагаемой участником Коммерческом предложении наименование предлагаемой продукции указан специальный автомобиль с </w:t>
            </w:r>
            <w:proofErr w:type="spellStart"/>
            <w:r w:rsidRPr="008C095B">
              <w:rPr>
                <w:sz w:val="24"/>
                <w:szCs w:val="24"/>
              </w:rPr>
              <w:t>крано</w:t>
            </w:r>
            <w:proofErr w:type="spellEnd"/>
            <w:r w:rsidRPr="008C095B">
              <w:rPr>
                <w:sz w:val="24"/>
                <w:szCs w:val="24"/>
              </w:rPr>
              <w:t xml:space="preserve">-манипулятором </w:t>
            </w:r>
            <w:proofErr w:type="spellStart"/>
            <w:r w:rsidRPr="008C095B">
              <w:rPr>
                <w:sz w:val="24"/>
                <w:szCs w:val="24"/>
                <w:lang w:val="en-US"/>
              </w:rPr>
              <w:t>Hangil</w:t>
            </w:r>
            <w:proofErr w:type="spellEnd"/>
            <w:r w:rsidRPr="008C095B">
              <w:rPr>
                <w:sz w:val="24"/>
                <w:szCs w:val="24"/>
              </w:rPr>
              <w:t xml:space="preserve"> 976 на шасси КАМАЗ-43118-48, что противоречит подпункту 4.5.1.3 документации о закупке, в котором указано:</w:t>
            </w:r>
          </w:p>
          <w:p w:rsidR="00F3576C" w:rsidRPr="008C095B" w:rsidRDefault="00F3576C" w:rsidP="00BB2F93">
            <w:pPr>
              <w:spacing w:line="240" w:lineRule="auto"/>
              <w:ind w:left="12"/>
              <w:rPr>
                <w:i/>
                <w:sz w:val="24"/>
                <w:szCs w:val="24"/>
              </w:rPr>
            </w:pPr>
            <w:r w:rsidRPr="008C095B">
              <w:rPr>
                <w:sz w:val="24"/>
                <w:szCs w:val="24"/>
              </w:rPr>
              <w:t xml:space="preserve"> </w:t>
            </w:r>
            <w:r w:rsidRPr="008C095B">
              <w:rPr>
                <w:i/>
                <w:sz w:val="24"/>
                <w:szCs w:val="24"/>
              </w:rPr>
              <w:t>«Документы,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заявки».</w:t>
            </w:r>
          </w:p>
        </w:tc>
      </w:tr>
    </w:tbl>
    <w:p w:rsidR="00F874F4" w:rsidRDefault="00F874F4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F3576C">
        <w:rPr>
          <w:b/>
          <w:bCs/>
          <w:iCs/>
          <w:snapToGrid/>
          <w:sz w:val="24"/>
          <w:szCs w:val="24"/>
        </w:rPr>
        <w:t xml:space="preserve"> 3</w:t>
      </w:r>
    </w:p>
    <w:p w:rsidR="00F3576C" w:rsidRDefault="00F3576C" w:rsidP="00F3576C">
      <w:pPr>
        <w:pStyle w:val="25"/>
        <w:tabs>
          <w:tab w:val="left" w:pos="851"/>
        </w:tabs>
        <w:rPr>
          <w:szCs w:val="24"/>
        </w:rPr>
      </w:pPr>
      <w:r w:rsidRPr="00D92ACD">
        <w:rPr>
          <w:szCs w:val="24"/>
        </w:rPr>
        <w:t xml:space="preserve">Признать </w:t>
      </w:r>
      <w:r w:rsidRPr="00C37059">
        <w:rPr>
          <w:szCs w:val="24"/>
        </w:rPr>
        <w:t xml:space="preserve">заявки </w:t>
      </w:r>
    </w:p>
    <w:p w:rsidR="00F3576C" w:rsidRPr="00094132" w:rsidRDefault="00F3576C" w:rsidP="00F3576C">
      <w:pPr>
        <w:pStyle w:val="13"/>
        <w:numPr>
          <w:ilvl w:val="0"/>
          <w:numId w:val="48"/>
        </w:numPr>
      </w:pPr>
      <w:r w:rsidRPr="008C095B">
        <w:rPr>
          <w:rStyle w:val="af7"/>
          <w:rFonts w:eastAsiaTheme="minorHAnsi"/>
          <w:color w:val="auto"/>
        </w:rPr>
        <w:t xml:space="preserve">140944 </w:t>
      </w:r>
    </w:p>
    <w:p w:rsidR="00F3576C" w:rsidRPr="008C095B" w:rsidRDefault="00F3576C" w:rsidP="00F3576C">
      <w:pPr>
        <w:pStyle w:val="13"/>
        <w:numPr>
          <w:ilvl w:val="0"/>
          <w:numId w:val="48"/>
        </w:numPr>
        <w:tabs>
          <w:tab w:val="left" w:pos="426"/>
          <w:tab w:val="left" w:pos="851"/>
        </w:tabs>
        <w:rPr>
          <w:rStyle w:val="af7"/>
          <w:color w:val="auto"/>
        </w:rPr>
      </w:pPr>
      <w:r w:rsidRPr="008C095B">
        <w:rPr>
          <w:rStyle w:val="af7"/>
          <w:rFonts w:eastAsiaTheme="minorHAnsi"/>
          <w:color w:val="auto"/>
        </w:rPr>
        <w:t>143216</w:t>
      </w:r>
    </w:p>
    <w:p w:rsidR="00F3576C" w:rsidRDefault="00F3576C" w:rsidP="00F3576C">
      <w:pPr>
        <w:pStyle w:val="13"/>
        <w:tabs>
          <w:tab w:val="left" w:pos="426"/>
          <w:tab w:val="left" w:pos="851"/>
        </w:tabs>
      </w:pPr>
      <w:r w:rsidRPr="005B516F">
        <w:t>соответствующими условиям Документации о закупке и принять их к дальнейшему рассмотрению</w:t>
      </w:r>
      <w:r w:rsidRPr="00024335">
        <w:rPr>
          <w:i/>
        </w:rPr>
        <w:t>.</w:t>
      </w:r>
    </w:p>
    <w:p w:rsidR="00F3576C" w:rsidRDefault="00F3576C" w:rsidP="00F3576C">
      <w:pPr>
        <w:pStyle w:val="25"/>
        <w:tabs>
          <w:tab w:val="left" w:pos="851"/>
        </w:tabs>
      </w:pPr>
      <w:r>
        <w:t>Заявки участников допускаются к участию в аукционе с учетом норм подраздела 4.15 Документации о закупке, согласно которому, в</w:t>
      </w:r>
      <w:r w:rsidRPr="00AF36B7">
        <w:t xml:space="preserve"> случае если Победителем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 на 15% (пятнадцать процентов) от предложенной им в ходе аукциона цены Договора, либо на 30% (тридцать процентов) , при отсутствии условий о </w:t>
      </w:r>
      <w:proofErr w:type="spellStart"/>
      <w:r w:rsidRPr="00AF36B7">
        <w:t>непредоставлении</w:t>
      </w:r>
      <w:proofErr w:type="spellEnd"/>
      <w:r w:rsidRPr="00AF36B7">
        <w:t xml:space="preserve"> приоритета в соответствии с ПП 925, указанных в пункте 4.15.6.</w:t>
      </w:r>
      <w:r>
        <w:t xml:space="preserve"> Документации о закупке.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576C" w:rsidRDefault="00F3576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</w:t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DD044A">
      <w:headerReference w:type="default" r:id="rId9"/>
      <w:footerReference w:type="default" r:id="rId10"/>
      <w:pgSz w:w="11906" w:h="16838"/>
      <w:pgMar w:top="567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AC5" w:rsidRDefault="00C22AC5" w:rsidP="00355095">
      <w:pPr>
        <w:spacing w:line="240" w:lineRule="auto"/>
      </w:pPr>
      <w:r>
        <w:separator/>
      </w:r>
    </w:p>
  </w:endnote>
  <w:endnote w:type="continuationSeparator" w:id="0">
    <w:p w:rsidR="00C22AC5" w:rsidRDefault="00C22AC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3576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3576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AC5" w:rsidRDefault="00C22AC5" w:rsidP="00355095">
      <w:pPr>
        <w:spacing w:line="240" w:lineRule="auto"/>
      </w:pPr>
      <w:r>
        <w:separator/>
      </w:r>
    </w:p>
  </w:footnote>
  <w:footnote w:type="continuationSeparator" w:id="0">
    <w:p w:rsidR="00C22AC5" w:rsidRDefault="00C22AC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465E9">
      <w:rPr>
        <w:i/>
        <w:sz w:val="20"/>
      </w:rPr>
      <w:t>рассмотрения</w:t>
    </w:r>
    <w:r w:rsidR="00312250">
      <w:rPr>
        <w:i/>
        <w:sz w:val="20"/>
      </w:rPr>
      <w:t xml:space="preserve"> (лот № </w:t>
    </w:r>
    <w:r w:rsidR="00DD044A" w:rsidRPr="00DD044A">
      <w:rPr>
        <w:i/>
        <w:sz w:val="20"/>
      </w:rPr>
      <w:t>141101-ПРО ДЭК-2023-ДРСК-ХЭС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0F99"/>
    <w:multiLevelType w:val="hybridMultilevel"/>
    <w:tmpl w:val="3EC8EDB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BD2C0E"/>
    <w:multiLevelType w:val="hybridMultilevel"/>
    <w:tmpl w:val="9350CABE"/>
    <w:lvl w:ilvl="0" w:tplc="6AC21F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95A22E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B0913B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5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1"/>
  </w:num>
  <w:num w:numId="5">
    <w:abstractNumId w:val="37"/>
  </w:num>
  <w:num w:numId="6">
    <w:abstractNumId w:val="30"/>
  </w:num>
  <w:num w:numId="7">
    <w:abstractNumId w:val="9"/>
  </w:num>
  <w:num w:numId="8">
    <w:abstractNumId w:val="34"/>
  </w:num>
  <w:num w:numId="9">
    <w:abstractNumId w:val="35"/>
  </w:num>
  <w:num w:numId="10">
    <w:abstractNumId w:val="13"/>
  </w:num>
  <w:num w:numId="11">
    <w:abstractNumId w:val="32"/>
  </w:num>
  <w:num w:numId="12">
    <w:abstractNumId w:val="5"/>
  </w:num>
  <w:num w:numId="13">
    <w:abstractNumId w:val="31"/>
  </w:num>
  <w:num w:numId="14">
    <w:abstractNumId w:val="24"/>
  </w:num>
  <w:num w:numId="15">
    <w:abstractNumId w:val="46"/>
  </w:num>
  <w:num w:numId="16">
    <w:abstractNumId w:val="15"/>
  </w:num>
  <w:num w:numId="17">
    <w:abstractNumId w:val="27"/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3"/>
  </w:num>
  <w:num w:numId="22">
    <w:abstractNumId w:val="47"/>
  </w:num>
  <w:num w:numId="23">
    <w:abstractNumId w:val="26"/>
  </w:num>
  <w:num w:numId="24">
    <w:abstractNumId w:val="1"/>
  </w:num>
  <w:num w:numId="25">
    <w:abstractNumId w:val="18"/>
  </w:num>
  <w:num w:numId="26">
    <w:abstractNumId w:val="39"/>
  </w:num>
  <w:num w:numId="27">
    <w:abstractNumId w:val="40"/>
  </w:num>
  <w:num w:numId="28">
    <w:abstractNumId w:val="20"/>
  </w:num>
  <w:num w:numId="29">
    <w:abstractNumId w:val="8"/>
  </w:num>
  <w:num w:numId="30">
    <w:abstractNumId w:val="22"/>
  </w:num>
  <w:num w:numId="31">
    <w:abstractNumId w:val="19"/>
  </w:num>
  <w:num w:numId="32">
    <w:abstractNumId w:val="41"/>
  </w:num>
  <w:num w:numId="33">
    <w:abstractNumId w:val="43"/>
  </w:num>
  <w:num w:numId="34">
    <w:abstractNumId w:val="23"/>
  </w:num>
  <w:num w:numId="35">
    <w:abstractNumId w:val="10"/>
  </w:num>
  <w:num w:numId="36">
    <w:abstractNumId w:val="45"/>
  </w:num>
  <w:num w:numId="37">
    <w:abstractNumId w:val="44"/>
  </w:num>
  <w:num w:numId="38">
    <w:abstractNumId w:val="28"/>
  </w:num>
  <w:num w:numId="39">
    <w:abstractNumId w:val="38"/>
  </w:num>
  <w:num w:numId="40">
    <w:abstractNumId w:val="16"/>
  </w:num>
  <w:num w:numId="41">
    <w:abstractNumId w:val="29"/>
  </w:num>
  <w:num w:numId="42">
    <w:abstractNumId w:val="6"/>
  </w:num>
  <w:num w:numId="43">
    <w:abstractNumId w:val="3"/>
  </w:num>
  <w:num w:numId="44">
    <w:abstractNumId w:val="36"/>
  </w:num>
  <w:num w:numId="45">
    <w:abstractNumId w:val="14"/>
  </w:num>
  <w:num w:numId="46">
    <w:abstractNumId w:val="4"/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E6A94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2AC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A75EC"/>
    <w:rsid w:val="00DB2131"/>
    <w:rsid w:val="00DB26E0"/>
    <w:rsid w:val="00DB319F"/>
    <w:rsid w:val="00DB7BE2"/>
    <w:rsid w:val="00DC1D40"/>
    <w:rsid w:val="00DD044A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2728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576C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43FE"/>
    <w:rsid w:val="00F96F29"/>
    <w:rsid w:val="00FA65A5"/>
    <w:rsid w:val="00FC0652"/>
    <w:rsid w:val="00FC257E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2031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00CDF-45CE-4E8E-AF2A-89459C410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2021-07-29T00:32:00Z</cp:lastPrinted>
  <dcterms:created xsi:type="dcterms:W3CDTF">2023-04-13T04:44:00Z</dcterms:created>
  <dcterms:modified xsi:type="dcterms:W3CDTF">2023-04-13T04:48:00Z</dcterms:modified>
</cp:coreProperties>
</file>