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00FDE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6D1664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D1664" w:rsidRPr="009B40EC" w:rsidRDefault="006D1664" w:rsidP="006D166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E78F7">
        <w:rPr>
          <w:b/>
          <w:i/>
          <w:sz w:val="26"/>
          <w:szCs w:val="26"/>
        </w:rPr>
        <w:t>Реконструкция распределительных сетей</w:t>
      </w:r>
      <w:r>
        <w:rPr>
          <w:b/>
          <w:i/>
          <w:sz w:val="26"/>
          <w:szCs w:val="26"/>
        </w:rPr>
        <w:t xml:space="preserve"> 10/0,4 </w:t>
      </w:r>
      <w:proofErr w:type="spellStart"/>
      <w:r>
        <w:rPr>
          <w:b/>
          <w:i/>
          <w:sz w:val="26"/>
          <w:szCs w:val="26"/>
        </w:rPr>
        <w:t>кВ</w:t>
      </w:r>
      <w:proofErr w:type="spellEnd"/>
      <w:r>
        <w:rPr>
          <w:b/>
          <w:i/>
          <w:sz w:val="26"/>
          <w:szCs w:val="26"/>
        </w:rPr>
        <w:t xml:space="preserve"> на территории СП ЦЭС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8E78F7">
        <w:rPr>
          <w:sz w:val="24"/>
        </w:rPr>
        <w:t>114601-ТПИР ОБСЛ-2023-ДРСК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00FDE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854EAA">
              <w:rPr>
                <w:b/>
                <w:sz w:val="24"/>
                <w:szCs w:val="24"/>
              </w:rPr>
              <w:t xml:space="preserve"> 2023</w:t>
            </w:r>
            <w:bookmarkStart w:id="2" w:name="_GoBack"/>
            <w:bookmarkEnd w:id="2"/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D1664" w:rsidRPr="006D1664">
        <w:rPr>
          <w:b/>
          <w:sz w:val="24"/>
        </w:rPr>
        <w:t xml:space="preserve">32211865175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D1664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D1664" w:rsidRPr="006D1664">
        <w:rPr>
          <w:b/>
          <w:i/>
          <w:sz w:val="24"/>
        </w:rPr>
        <w:t xml:space="preserve">Реконструкция распределительных сетей 10/0,4 </w:t>
      </w:r>
      <w:proofErr w:type="spellStart"/>
      <w:r w:rsidR="006D1664" w:rsidRPr="006D1664">
        <w:rPr>
          <w:b/>
          <w:i/>
          <w:sz w:val="24"/>
        </w:rPr>
        <w:t>кВ</w:t>
      </w:r>
      <w:proofErr w:type="spellEnd"/>
      <w:r w:rsidR="006D1664" w:rsidRPr="006D1664">
        <w:rPr>
          <w:b/>
          <w:i/>
          <w:sz w:val="24"/>
        </w:rPr>
        <w:t xml:space="preserve"> на территории СП ЦЭС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D1664" w:rsidRPr="006D1664">
        <w:rPr>
          <w:sz w:val="24"/>
        </w:rPr>
        <w:t>114601-ТПИР ОБСЛ-2023-ДРСК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21.11.2022 10:26:57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№105122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02.12.2022 10:37:29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№110299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02.12.2022 16:58:35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№110611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03.12.2022 07:32:07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№110688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03.12.2022 12:20:10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№110704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04.12.2022 10:15:47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№110760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04.12.2022 15:16:11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№110784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03:38:47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№110874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05:54:34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№110884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06:59:32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№110894</w:t>
            </w:r>
          </w:p>
        </w:tc>
      </w:tr>
    </w:tbl>
    <w:p w:rsidR="00000FDE" w:rsidRPr="00000FDE" w:rsidRDefault="00C36A4F" w:rsidP="00000FDE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000FDE">
        <w:rPr>
          <w:b/>
          <w:sz w:val="24"/>
          <w:szCs w:val="24"/>
        </w:rPr>
        <w:t xml:space="preserve">КОЛИЧЕСТВО ОТКЛОНЕННЫХ ЗАЯВОК: </w:t>
      </w:r>
      <w:r w:rsidR="00000FDE" w:rsidRPr="00000FDE">
        <w:rPr>
          <w:b/>
          <w:sz w:val="24"/>
          <w:szCs w:val="24"/>
        </w:rPr>
        <w:t>2</w:t>
      </w:r>
      <w:r w:rsidRPr="00000FDE">
        <w:rPr>
          <w:sz w:val="24"/>
          <w:szCs w:val="24"/>
        </w:rPr>
        <w:t xml:space="preserve"> (</w:t>
      </w:r>
      <w:r w:rsidR="00000FDE" w:rsidRPr="00000FDE">
        <w:rPr>
          <w:sz w:val="24"/>
          <w:szCs w:val="24"/>
        </w:rPr>
        <w:t>две</w:t>
      </w:r>
      <w:r w:rsidRPr="00000FDE">
        <w:rPr>
          <w:sz w:val="24"/>
          <w:szCs w:val="24"/>
        </w:rPr>
        <w:t xml:space="preserve">) </w:t>
      </w:r>
      <w:r w:rsidR="00000FDE" w:rsidRPr="00000FDE">
        <w:rPr>
          <w:sz w:val="24"/>
          <w:szCs w:val="24"/>
        </w:rPr>
        <w:t>заявки на этапе рассмотрения вторых частей (и ценовых предложений) заявок Участников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00FDE" w:rsidRDefault="00000FDE" w:rsidP="00000FD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000FDE" w:rsidRPr="00841851" w:rsidRDefault="00000FDE" w:rsidP="00000FD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  <w:szCs w:val="24"/>
        </w:rPr>
      </w:pPr>
      <w:r w:rsidRPr="00216D99">
        <w:rPr>
          <w:sz w:val="24"/>
          <w:szCs w:val="24"/>
        </w:rPr>
        <w:t xml:space="preserve">Об отклонении заявки </w:t>
      </w:r>
      <w:r w:rsidRPr="00841851">
        <w:rPr>
          <w:sz w:val="24"/>
          <w:szCs w:val="24"/>
        </w:rPr>
        <w:t>Участника №110299/ООО "ТРЕЙД ЭКСПЕРТ"</w:t>
      </w:r>
    </w:p>
    <w:p w:rsidR="00000FDE" w:rsidRPr="00841851" w:rsidRDefault="00000FDE" w:rsidP="00000FD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  <w:szCs w:val="24"/>
        </w:rPr>
      </w:pPr>
      <w:r w:rsidRPr="00841851">
        <w:rPr>
          <w:sz w:val="24"/>
          <w:szCs w:val="24"/>
        </w:rPr>
        <w:t>Об отклонении заявки Участника № №110760/ООО "ВЭС"</w:t>
      </w:r>
    </w:p>
    <w:p w:rsidR="00000FDE" w:rsidRPr="00841851" w:rsidRDefault="00000FDE" w:rsidP="00000FD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41851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00FDE" w:rsidRPr="00455714" w:rsidRDefault="00000FDE" w:rsidP="00000FD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00FDE" w:rsidRDefault="00000FDE" w:rsidP="00000FD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76"/>
        <w:gridCol w:w="10"/>
        <w:gridCol w:w="2693"/>
      </w:tblGrid>
      <w:tr w:rsidR="00000FDE" w:rsidRPr="00913583" w:rsidTr="00000FDE">
        <w:trPr>
          <w:cantSplit/>
          <w:trHeight w:val="112"/>
        </w:trPr>
        <w:tc>
          <w:tcPr>
            <w:tcW w:w="521" w:type="dxa"/>
            <w:vAlign w:val="center"/>
          </w:tcPr>
          <w:p w:rsidR="00000FDE" w:rsidRPr="00465A29" w:rsidRDefault="00000FDE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000FDE" w:rsidRPr="00465A29" w:rsidRDefault="00000FDE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000FDE" w:rsidRPr="00465A29" w:rsidRDefault="00000FDE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gridSpan w:val="2"/>
            <w:vAlign w:val="center"/>
          </w:tcPr>
          <w:p w:rsidR="00000FDE" w:rsidRPr="00465A29" w:rsidRDefault="00000FDE" w:rsidP="00F146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703" w:type="dxa"/>
            <w:gridSpan w:val="2"/>
            <w:vAlign w:val="center"/>
          </w:tcPr>
          <w:p w:rsidR="00000FDE" w:rsidRPr="00465A29" w:rsidRDefault="00000FDE" w:rsidP="00F146A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21.11.2022 10:26:57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№105122/</w:t>
            </w:r>
            <w:r w:rsidRPr="00465A29">
              <w:t>ООО "ЭНЕРГОСТРОЙ"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0B306A" w:rsidRDefault="00000FDE" w:rsidP="00F146A1">
            <w:pPr>
              <w:pStyle w:val="TableContents"/>
              <w:jc w:val="center"/>
            </w:pPr>
            <w:r w:rsidRPr="00465A29">
              <w:t>14</w:t>
            </w:r>
            <w:r>
              <w:t xml:space="preserve"> </w:t>
            </w:r>
            <w:r w:rsidRPr="00465A29">
              <w:t>595</w:t>
            </w:r>
            <w:r>
              <w:t xml:space="preserve"> </w:t>
            </w:r>
            <w:r w:rsidRPr="00465A29">
              <w:t>813</w:t>
            </w:r>
            <w:r>
              <w:t>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02.12.2022 10:37:29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№110299/</w:t>
            </w:r>
            <w:r w:rsidRPr="00465A29">
              <w:t>ООО "ТРЕЙД ЭКСПЕРТ"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02.12.2022 16:58:35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№110611/</w:t>
            </w:r>
            <w:r w:rsidRPr="00465A29">
              <w:t>ООО "ЭЛЕКТРОМОНТАЖ"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03.12.2022 07:32:07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№110688/</w:t>
            </w:r>
            <w:r w:rsidRPr="00465A29">
              <w:t>ООО "ВОСТОКИНЖЕНЕРИЯ"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03.12.2022 12:20:10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№110704/</w:t>
            </w:r>
            <w:r w:rsidRPr="00465A29">
              <w:t>ООО "СТРОЙАЛЬЯНС"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04.12.2022 10:15:47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№110760/</w:t>
            </w:r>
            <w:r w:rsidRPr="00465A29">
              <w:t>ООО "ВЭС"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04.12.2022 15:16:11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№110784/</w:t>
            </w:r>
            <w:r w:rsidRPr="00465A29">
              <w:t xml:space="preserve">Арутюнян </w:t>
            </w:r>
            <w:proofErr w:type="spellStart"/>
            <w:r w:rsidRPr="00465A29">
              <w:t>Сосо</w:t>
            </w:r>
            <w:proofErr w:type="spellEnd"/>
            <w:r w:rsidRPr="00465A29">
              <w:t xml:space="preserve"> </w:t>
            </w:r>
            <w:proofErr w:type="spellStart"/>
            <w:r w:rsidRPr="00465A29">
              <w:t>Анушаванович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14 581 217,19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05.12.2022 03:38:47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№110874/</w:t>
            </w:r>
            <w:r w:rsidRPr="00465A29">
              <w:t>ООО "КАБЕЛЬНАЯ АРМАТУРА"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 xml:space="preserve">14 </w:t>
            </w:r>
            <w:r>
              <w:rPr>
                <w:sz w:val="24"/>
                <w:szCs w:val="24"/>
              </w:rPr>
              <w:t>157938,61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05.12.2022 05:54:34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№110884/ООО "ТПК"СВЕТОТЕХНИКА"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  <w:tr w:rsidR="00000FDE" w:rsidRPr="00913583" w:rsidTr="00000FDE">
        <w:trPr>
          <w:cantSplit/>
          <w:trHeight w:val="112"/>
        </w:trPr>
        <w:tc>
          <w:tcPr>
            <w:tcW w:w="521" w:type="dxa"/>
          </w:tcPr>
          <w:p w:rsidR="00000FDE" w:rsidRPr="00913583" w:rsidRDefault="00000FDE" w:rsidP="00000FDE">
            <w:pPr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05.12.2022 06:59:32 MCK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Default="00000FDE" w:rsidP="00F146A1">
            <w:pPr>
              <w:pStyle w:val="TableContents"/>
            </w:pPr>
            <w:r>
              <w:t>Заявка №110894/</w:t>
            </w:r>
            <w:r w:rsidRPr="00465A29">
              <w:t>ООО "ЛИДЕР СЕРВИС"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DE" w:rsidRPr="004F73AB" w:rsidRDefault="00000FDE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4F73AB">
              <w:rPr>
                <w:sz w:val="24"/>
                <w:szCs w:val="24"/>
              </w:rPr>
              <w:t>14 595 813,00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000FDE" w:rsidRPr="0072638D" w:rsidRDefault="00000FDE" w:rsidP="00000FD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72638D">
        <w:rPr>
          <w:sz w:val="24"/>
          <w:szCs w:val="24"/>
        </w:rPr>
        <w:t xml:space="preserve">заявку Участника №110299/ООО "ТРЕЙД ЭКСПЕРТ" от дальнейшего рассмотрения на основании </w:t>
      </w:r>
      <w:proofErr w:type="spellStart"/>
      <w:r w:rsidRPr="0072638D">
        <w:rPr>
          <w:sz w:val="24"/>
          <w:szCs w:val="24"/>
        </w:rPr>
        <w:t>пп</w:t>
      </w:r>
      <w:proofErr w:type="spellEnd"/>
      <w:r w:rsidRPr="0072638D"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000FDE" w:rsidTr="00F146A1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FDE" w:rsidRDefault="00000FDE" w:rsidP="00F146A1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FDE" w:rsidRDefault="00000FDE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00FDE" w:rsidTr="00F146A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DE" w:rsidRPr="00443E62" w:rsidRDefault="00000FDE" w:rsidP="00000FDE">
            <w:pPr>
              <w:pStyle w:val="a9"/>
              <w:numPr>
                <w:ilvl w:val="6"/>
                <w:numId w:val="44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FDE" w:rsidRPr="002C4FBF" w:rsidRDefault="00000FDE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>По результатам экспертизы заявки Участника выявлено что генеральный директор и единственный учредитель ООО «Трейд эксперт» Овчаренко П.Ю. является сыном директора и единственного учредителя ООО «</w:t>
            </w:r>
            <w:proofErr w:type="spellStart"/>
            <w:r w:rsidRPr="002C4FBF">
              <w:rPr>
                <w:sz w:val="24"/>
                <w:szCs w:val="24"/>
              </w:rPr>
              <w:t>ВостокЭнергоСоюз</w:t>
            </w:r>
            <w:proofErr w:type="spellEnd"/>
            <w:r w:rsidRPr="002C4FBF">
              <w:rPr>
                <w:sz w:val="24"/>
                <w:szCs w:val="24"/>
              </w:rPr>
              <w:t>» Овчаренко Ю.А., кроме того обе организации зарегистрированы по одному адресу: г. Благовещенск, ул. Больничная, 62. Данные факты дают основания предполагать о существовании между Участниками согласованных действий с целью повлиять на определение Победителя закупки, что не соответствует условиям подпункта 8 таблицы 10.1. «</w:t>
            </w:r>
            <w:r w:rsidRPr="002C4FBF">
              <w:rPr>
                <w:i/>
                <w:sz w:val="24"/>
                <w:szCs w:val="24"/>
              </w:rPr>
              <w:t xml:space="preserve">Обязательные требования» </w:t>
            </w:r>
            <w:r w:rsidRPr="002C4FBF">
              <w:rPr>
                <w:sz w:val="24"/>
                <w:szCs w:val="24"/>
              </w:rPr>
              <w:t xml:space="preserve"> Приложения 3 – «</w:t>
            </w:r>
            <w:r w:rsidRPr="002C4FBF">
              <w:rPr>
                <w:i/>
                <w:sz w:val="24"/>
                <w:szCs w:val="24"/>
              </w:rPr>
              <w:t>Требования к участникам»</w:t>
            </w:r>
            <w:r w:rsidRPr="002C4FBF">
              <w:rPr>
                <w:sz w:val="24"/>
                <w:szCs w:val="24"/>
              </w:rPr>
              <w:t xml:space="preserve"> Документации о закупке, в котором установлено следующее требование: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</w:t>
            </w:r>
            <w:proofErr w:type="spellStart"/>
            <w:r w:rsidRPr="002C4FBF">
              <w:rPr>
                <w:sz w:val="24"/>
                <w:szCs w:val="24"/>
              </w:rPr>
              <w:t>ДРиФС</w:t>
            </w:r>
            <w:proofErr w:type="spellEnd"/>
            <w:r w:rsidRPr="002C4FBF">
              <w:rPr>
                <w:sz w:val="24"/>
                <w:szCs w:val="24"/>
              </w:rPr>
              <w:t xml:space="preserve">). </w:t>
            </w:r>
          </w:p>
          <w:p w:rsidR="00000FDE" w:rsidRPr="002C4FBF" w:rsidRDefault="00000FDE" w:rsidP="00F146A1">
            <w:pPr>
              <w:pStyle w:val="111"/>
              <w:keepNext/>
              <w:numPr>
                <w:ilvl w:val="0"/>
                <w:numId w:val="0"/>
              </w:numPr>
              <w:spacing w:before="0" w:line="240" w:lineRule="auto"/>
              <w:ind w:left="433" w:firstLine="8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 xml:space="preserve">В целях проверки надежности (деловой репутации) Участника в соответствии с Методикой проверки </w:t>
            </w:r>
            <w:proofErr w:type="spellStart"/>
            <w:r w:rsidRPr="002C4FBF">
              <w:rPr>
                <w:sz w:val="24"/>
                <w:szCs w:val="24"/>
              </w:rPr>
              <w:t>ДРиФС</w:t>
            </w:r>
            <w:proofErr w:type="spellEnd"/>
            <w:r w:rsidRPr="002C4FBF">
              <w:rPr>
                <w:sz w:val="24"/>
                <w:szCs w:val="24"/>
              </w:rPr>
              <w:t xml:space="preserve"> устанавливаются следующие критерии отбора:</w:t>
            </w:r>
          </w:p>
          <w:p w:rsidR="00000FDE" w:rsidRPr="002C4FBF" w:rsidRDefault="00000FDE" w:rsidP="00F146A1">
            <w:pPr>
              <w:spacing w:line="240" w:lineRule="auto"/>
              <w:ind w:firstLine="708"/>
              <w:rPr>
                <w:sz w:val="24"/>
                <w:szCs w:val="24"/>
              </w:rPr>
            </w:pPr>
            <w:proofErr w:type="spellStart"/>
            <w:r w:rsidRPr="002C4FBF">
              <w:rPr>
                <w:i/>
                <w:sz w:val="24"/>
                <w:szCs w:val="24"/>
              </w:rPr>
              <w:t>пп</w:t>
            </w:r>
            <w:proofErr w:type="spellEnd"/>
            <w:r w:rsidRPr="002C4FBF">
              <w:rPr>
                <w:i/>
                <w:sz w:val="24"/>
                <w:szCs w:val="24"/>
              </w:rPr>
              <w:t>. (и)</w:t>
            </w:r>
            <w:r w:rsidRPr="002C4FBF">
              <w:rPr>
                <w:sz w:val="24"/>
                <w:szCs w:val="24"/>
              </w:rPr>
              <w:t xml:space="preserve"> - наличие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действий (под согласованными действиями не должны пониматься действия, связанные с объективными обстоятельствами, в равной мере влияющими на участников) – проверка осуществляется по документам заявок, сведениям и информации, указанным в таких заявках, а также оформлению заявок.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00FDE" w:rsidRDefault="00000FDE" w:rsidP="00000F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000FDE" w:rsidRDefault="00000FDE" w:rsidP="00000FDE">
      <w:pPr>
        <w:spacing w:line="240" w:lineRule="auto"/>
        <w:ind w:firstLine="0"/>
        <w:rPr>
          <w:sz w:val="24"/>
          <w:szCs w:val="24"/>
        </w:rPr>
      </w:pPr>
      <w:r w:rsidRPr="002C4FBF">
        <w:rPr>
          <w:sz w:val="24"/>
          <w:szCs w:val="24"/>
        </w:rPr>
        <w:t>Отклонить заявку №110760/ООО "ВЭС" от дальнейшего рассмотрения</w:t>
      </w:r>
      <w:r>
        <w:rPr>
          <w:sz w:val="24"/>
          <w:szCs w:val="24"/>
        </w:rPr>
        <w:t xml:space="preserve">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в), а) п. 4.15.5 Документации о закупке, как несоответствующую следующим требованиям: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000FDE" w:rsidTr="00F146A1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FDE" w:rsidRDefault="00000FDE" w:rsidP="00F146A1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FDE" w:rsidRDefault="00000FDE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00FDE" w:rsidTr="00F146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DE" w:rsidRPr="00443E62" w:rsidRDefault="00000FDE" w:rsidP="00000FDE">
            <w:pPr>
              <w:pStyle w:val="a9"/>
              <w:numPr>
                <w:ilvl w:val="6"/>
                <w:numId w:val="49"/>
              </w:numPr>
              <w:tabs>
                <w:tab w:val="clear" w:pos="5040"/>
                <w:tab w:val="num" w:pos="4680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FDE" w:rsidRPr="002C4FBF" w:rsidRDefault="00000FDE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 xml:space="preserve">По результатам экспертизы заявки Участника выявлено что генеральный директор и единственный учредитель ООО «Трейд эксперт» Овчаренко П.Ю. является сыном </w:t>
            </w:r>
            <w:r w:rsidRPr="002C4FBF">
              <w:rPr>
                <w:sz w:val="24"/>
                <w:szCs w:val="24"/>
              </w:rPr>
              <w:lastRenderedPageBreak/>
              <w:t>директора и единственного учредителя ООО «</w:t>
            </w:r>
            <w:proofErr w:type="spellStart"/>
            <w:r w:rsidRPr="002C4FBF">
              <w:rPr>
                <w:sz w:val="24"/>
                <w:szCs w:val="24"/>
              </w:rPr>
              <w:t>ВостокЭнергоСоюз</w:t>
            </w:r>
            <w:proofErr w:type="spellEnd"/>
            <w:r w:rsidRPr="002C4FBF">
              <w:rPr>
                <w:sz w:val="24"/>
                <w:szCs w:val="24"/>
              </w:rPr>
              <w:t>» Овчаренко Ю.А., кроме того обе организации зарегистрированы по одному адресу: г. Благовещенск, ул. Больничная, 62. Данные факты дают основания предполагать о существовании между Участниками согласованных действий с целью повлиять на определение Победителя закупки, что не соответствует условиям подпункта 8 таблицы 10.1. «</w:t>
            </w:r>
            <w:r w:rsidRPr="002C4FBF">
              <w:rPr>
                <w:i/>
                <w:sz w:val="24"/>
                <w:szCs w:val="24"/>
              </w:rPr>
              <w:t xml:space="preserve">Обязательные требования» </w:t>
            </w:r>
            <w:r w:rsidRPr="002C4FBF">
              <w:rPr>
                <w:sz w:val="24"/>
                <w:szCs w:val="24"/>
              </w:rPr>
              <w:t xml:space="preserve"> Приложения 3 – «</w:t>
            </w:r>
            <w:r w:rsidRPr="002C4FBF">
              <w:rPr>
                <w:i/>
                <w:sz w:val="24"/>
                <w:szCs w:val="24"/>
              </w:rPr>
              <w:t>Требования к участникам»</w:t>
            </w:r>
            <w:r w:rsidRPr="002C4FBF">
              <w:rPr>
                <w:sz w:val="24"/>
                <w:szCs w:val="24"/>
              </w:rPr>
              <w:t xml:space="preserve"> Документации о закупке, в котором установлено следующее требование: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</w:t>
            </w:r>
            <w:proofErr w:type="spellStart"/>
            <w:r w:rsidRPr="002C4FBF">
              <w:rPr>
                <w:sz w:val="24"/>
                <w:szCs w:val="24"/>
              </w:rPr>
              <w:t>ДРиФС</w:t>
            </w:r>
            <w:proofErr w:type="spellEnd"/>
            <w:r w:rsidRPr="002C4FBF">
              <w:rPr>
                <w:sz w:val="24"/>
                <w:szCs w:val="24"/>
              </w:rPr>
              <w:t xml:space="preserve">). </w:t>
            </w:r>
          </w:p>
          <w:p w:rsidR="00000FDE" w:rsidRPr="002C4FBF" w:rsidRDefault="00000FDE" w:rsidP="00F146A1">
            <w:pPr>
              <w:pStyle w:val="111"/>
              <w:keepNext/>
              <w:numPr>
                <w:ilvl w:val="0"/>
                <w:numId w:val="0"/>
              </w:numPr>
              <w:spacing w:before="0" w:line="240" w:lineRule="auto"/>
              <w:ind w:left="433" w:firstLine="8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 xml:space="preserve">В целях проверки надежности (деловой репутации) Участника в соответствии с Методикой проверки </w:t>
            </w:r>
            <w:proofErr w:type="spellStart"/>
            <w:r w:rsidRPr="002C4FBF">
              <w:rPr>
                <w:sz w:val="24"/>
                <w:szCs w:val="24"/>
              </w:rPr>
              <w:t>ДРиФС</w:t>
            </w:r>
            <w:proofErr w:type="spellEnd"/>
            <w:r w:rsidRPr="002C4FBF">
              <w:rPr>
                <w:sz w:val="24"/>
                <w:szCs w:val="24"/>
              </w:rPr>
              <w:t xml:space="preserve"> устанавливаются следующие критерии отбора:</w:t>
            </w:r>
          </w:p>
          <w:p w:rsidR="00000FDE" w:rsidRPr="002C4FBF" w:rsidRDefault="00000FDE" w:rsidP="00F146A1">
            <w:pPr>
              <w:spacing w:line="240" w:lineRule="auto"/>
              <w:ind w:firstLine="708"/>
              <w:rPr>
                <w:sz w:val="24"/>
                <w:szCs w:val="24"/>
              </w:rPr>
            </w:pPr>
            <w:proofErr w:type="spellStart"/>
            <w:r w:rsidRPr="002C4FBF">
              <w:rPr>
                <w:i/>
                <w:sz w:val="24"/>
                <w:szCs w:val="24"/>
              </w:rPr>
              <w:t>пп</w:t>
            </w:r>
            <w:proofErr w:type="spellEnd"/>
            <w:r w:rsidRPr="002C4FBF">
              <w:rPr>
                <w:i/>
                <w:sz w:val="24"/>
                <w:szCs w:val="24"/>
              </w:rPr>
              <w:t>. (и)</w:t>
            </w:r>
            <w:r w:rsidRPr="002C4FBF">
              <w:rPr>
                <w:sz w:val="24"/>
                <w:szCs w:val="24"/>
              </w:rPr>
              <w:t xml:space="preserve"> - наличие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действий (под согласованными действиями не должны пониматься действия, связанные с объективными обстоятельствами, в равной мере влияющими на участников) – проверка осуществляется по документам заявок, сведениям и информации, указанным в таких заявках, а также оформлению заявок.</w:t>
            </w:r>
          </w:p>
        </w:tc>
      </w:tr>
      <w:tr w:rsidR="00000FDE" w:rsidTr="00F146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DE" w:rsidRPr="00443E62" w:rsidRDefault="00000FDE" w:rsidP="00000FDE">
            <w:pPr>
              <w:pStyle w:val="a9"/>
              <w:numPr>
                <w:ilvl w:val="6"/>
                <w:numId w:val="49"/>
              </w:numPr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DE" w:rsidRPr="009F20AC" w:rsidRDefault="00000FDE" w:rsidP="00F146A1">
            <w:pPr>
              <w:tabs>
                <w:tab w:val="left" w:pos="851"/>
                <w:tab w:val="num" w:pos="5388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597A78">
              <w:rPr>
                <w:sz w:val="24"/>
                <w:szCs w:val="24"/>
              </w:rPr>
              <w:t>В Письме о подаче оферты указано наименование объекта, не соответствующее предмету закупки, что не соответствует требованиям пункта п. 4.5.1.7 Документации о закупке, в котором указано следующее: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заявки, в том числе по тексту внутри одного документа</w:t>
            </w:r>
            <w:r w:rsidRPr="00597A78">
              <w:rPr>
                <w:iCs/>
                <w:sz w:val="24"/>
                <w:szCs w:val="24"/>
              </w:rPr>
              <w:t>».</w:t>
            </w:r>
          </w:p>
        </w:tc>
      </w:tr>
    </w:tbl>
    <w:p w:rsidR="00000FDE" w:rsidRDefault="00000FDE" w:rsidP="00000F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00FDE" w:rsidRDefault="00000FDE" w:rsidP="00000F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000FDE" w:rsidRDefault="00000FDE" w:rsidP="00000FD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№105122/</w:t>
      </w:r>
      <w:r w:rsidRPr="00465A29">
        <w:t>ООО "ЭНЕРГОСТРОЙ"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№110611/</w:t>
      </w:r>
      <w:r w:rsidRPr="00465A29">
        <w:t>ООО "ЭЛЕКТРОМОНТАЖ"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№110688/</w:t>
      </w:r>
      <w:r w:rsidRPr="00465A29">
        <w:t>ООО "ВОСТОКИНЖЕНЕРИЯ"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№110704/</w:t>
      </w:r>
      <w:r w:rsidRPr="00465A29">
        <w:t>ООО "СТРОЙАЛЬЯНС"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№110784/</w:t>
      </w:r>
      <w:r w:rsidRPr="00465A29">
        <w:t xml:space="preserve">Арутюнян </w:t>
      </w:r>
      <w:proofErr w:type="spellStart"/>
      <w:r w:rsidRPr="00465A29">
        <w:t>Сосо</w:t>
      </w:r>
      <w:proofErr w:type="spellEnd"/>
      <w:r w:rsidRPr="00465A29">
        <w:t xml:space="preserve"> </w:t>
      </w:r>
      <w:proofErr w:type="spellStart"/>
      <w:r w:rsidRPr="00465A29">
        <w:t>Анушаванович</w:t>
      </w:r>
      <w:proofErr w:type="spellEnd"/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№110874/</w:t>
      </w:r>
      <w:r w:rsidRPr="00465A29">
        <w:t>ООО "КАБЕЛЬНАЯ АРМАТУРА"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№110884/ООО "ТПК"СВЕТОТЕХНИКА"</w:t>
      </w:r>
    </w:p>
    <w:p w:rsidR="00000FDE" w:rsidRDefault="00000FDE" w:rsidP="00000FDE">
      <w:pPr>
        <w:pStyle w:val="TableContents"/>
        <w:numPr>
          <w:ilvl w:val="0"/>
          <w:numId w:val="50"/>
        </w:numPr>
      </w:pPr>
      <w:r>
        <w:t>Заявка №110894/</w:t>
      </w:r>
      <w:r w:rsidRPr="00465A29">
        <w:t>ООО "ЛИДЕР СЕРВИС"</w:t>
      </w:r>
    </w:p>
    <w:p w:rsidR="00000FDE" w:rsidRDefault="00000FDE" w:rsidP="00000FDE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16.01.2023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6D1664" w:rsidRDefault="006D166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00FDE">
      <w:headerReference w:type="default" r:id="rId9"/>
      <w:footerReference w:type="default" r:id="rId10"/>
      <w:pgSz w:w="11906" w:h="16838"/>
      <w:pgMar w:top="568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49" w:rsidRDefault="003A0D49" w:rsidP="00355095">
      <w:pPr>
        <w:spacing w:line="240" w:lineRule="auto"/>
      </w:pPr>
      <w:r>
        <w:separator/>
      </w:r>
    </w:p>
  </w:endnote>
  <w:endnote w:type="continuationSeparator" w:id="0">
    <w:p w:rsidR="003A0D49" w:rsidRDefault="003A0D4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4EA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4EA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49" w:rsidRDefault="003A0D49" w:rsidP="00355095">
      <w:pPr>
        <w:spacing w:line="240" w:lineRule="auto"/>
      </w:pPr>
      <w:r>
        <w:separator/>
      </w:r>
    </w:p>
  </w:footnote>
  <w:footnote w:type="continuationSeparator" w:id="0">
    <w:p w:rsidR="003A0D49" w:rsidRDefault="003A0D4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000FDE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6D1664" w:rsidRPr="006D1664">
      <w:rPr>
        <w:i/>
        <w:sz w:val="20"/>
      </w:rPr>
      <w:t>114601-ТПИР ОБСЛ-2023-ДРСК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A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A1CA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3F404B7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3A4384F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6"/>
  </w:num>
  <w:num w:numId="5">
    <w:abstractNumId w:val="41"/>
  </w:num>
  <w:num w:numId="6">
    <w:abstractNumId w:val="34"/>
  </w:num>
  <w:num w:numId="7">
    <w:abstractNumId w:val="8"/>
  </w:num>
  <w:num w:numId="8">
    <w:abstractNumId w:val="38"/>
  </w:num>
  <w:num w:numId="9">
    <w:abstractNumId w:val="39"/>
  </w:num>
  <w:num w:numId="10">
    <w:abstractNumId w:val="15"/>
  </w:num>
  <w:num w:numId="11">
    <w:abstractNumId w:val="36"/>
  </w:num>
  <w:num w:numId="12">
    <w:abstractNumId w:val="4"/>
  </w:num>
  <w:num w:numId="13">
    <w:abstractNumId w:val="35"/>
  </w:num>
  <w:num w:numId="14">
    <w:abstractNumId w:val="30"/>
  </w:num>
  <w:num w:numId="15">
    <w:abstractNumId w:val="48"/>
  </w:num>
  <w:num w:numId="16">
    <w:abstractNumId w:val="16"/>
  </w:num>
  <w:num w:numId="17">
    <w:abstractNumId w:val="33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7"/>
  </w:num>
  <w:num w:numId="22">
    <w:abstractNumId w:val="49"/>
  </w:num>
  <w:num w:numId="23">
    <w:abstractNumId w:val="32"/>
  </w:num>
  <w:num w:numId="24">
    <w:abstractNumId w:val="1"/>
  </w:num>
  <w:num w:numId="25">
    <w:abstractNumId w:val="21"/>
  </w:num>
  <w:num w:numId="26">
    <w:abstractNumId w:val="42"/>
  </w:num>
  <w:num w:numId="27">
    <w:abstractNumId w:val="44"/>
  </w:num>
  <w:num w:numId="28">
    <w:abstractNumId w:val="25"/>
  </w:num>
  <w:num w:numId="29">
    <w:abstractNumId w:val="7"/>
  </w:num>
  <w:num w:numId="30">
    <w:abstractNumId w:val="28"/>
  </w:num>
  <w:num w:numId="31">
    <w:abstractNumId w:val="24"/>
  </w:num>
  <w:num w:numId="32">
    <w:abstractNumId w:val="5"/>
  </w:num>
  <w:num w:numId="33">
    <w:abstractNumId w:val="17"/>
  </w:num>
  <w:num w:numId="34">
    <w:abstractNumId w:val="12"/>
  </w:num>
  <w:num w:numId="35">
    <w:abstractNumId w:val="43"/>
  </w:num>
  <w:num w:numId="36">
    <w:abstractNumId w:val="14"/>
  </w:num>
  <w:num w:numId="37">
    <w:abstractNumId w:val="22"/>
  </w:num>
  <w:num w:numId="38">
    <w:abstractNumId w:val="19"/>
  </w:num>
  <w:num w:numId="39">
    <w:abstractNumId w:val="47"/>
  </w:num>
  <w:num w:numId="40">
    <w:abstractNumId w:val="20"/>
  </w:num>
  <w:num w:numId="41">
    <w:abstractNumId w:val="3"/>
  </w:num>
  <w:num w:numId="42">
    <w:abstractNumId w:val="46"/>
  </w:num>
  <w:num w:numId="43">
    <w:abstractNumId w:val="10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27"/>
  </w:num>
  <w:num w:numId="47">
    <w:abstractNumId w:val="0"/>
  </w:num>
  <w:num w:numId="48">
    <w:abstractNumId w:val="23"/>
  </w:num>
  <w:num w:numId="49">
    <w:abstractNumId w:val="9"/>
  </w:num>
  <w:num w:numId="50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FDE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0D4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1664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54EAA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6A4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344C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5B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A9F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000FDE"/>
    <w:pPr>
      <w:keepNext/>
      <w:numPr>
        <w:numId w:val="48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000FDE"/>
    <w:pPr>
      <w:keepNext/>
      <w:numPr>
        <w:ilvl w:val="1"/>
        <w:numId w:val="48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000FDE"/>
    <w:pPr>
      <w:numPr>
        <w:ilvl w:val="2"/>
        <w:numId w:val="48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000FDE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000FDE"/>
    <w:pPr>
      <w:numPr>
        <w:ilvl w:val="5"/>
        <w:numId w:val="48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820C-B104-40D3-81DF-D25F5B8D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2023-01-12T05:09:00Z</dcterms:created>
  <dcterms:modified xsi:type="dcterms:W3CDTF">2023-01-12T09:22:00Z</dcterms:modified>
</cp:coreProperties>
</file>