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3C19D2" w:rsidRDefault="00CD0076" w:rsidP="003C19D2">
            <w:pPr>
              <w:spacing w:before="120" w:line="360" w:lineRule="exact"/>
              <w:contextualSpacing/>
              <w:rPr>
                <w:rFonts w:ascii="Times New Roman" w:eastAsia="Calibri" w:hAnsi="Times New Roman"/>
                <w:noProof w:val="0"/>
                <w:sz w:val="22"/>
                <w:szCs w:val="22"/>
              </w:rPr>
            </w:pPr>
            <w:r w:rsidRPr="003C19D2">
              <w:rPr>
                <w:rFonts w:ascii="Times New Roman" w:eastAsia="Calibri" w:hAnsi="Times New Roman"/>
                <w:noProof w:val="0"/>
                <w:sz w:val="22"/>
                <w:szCs w:val="2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3C19D2" w:rsidRDefault="00610A89" w:rsidP="003C19D2">
            <w:pPr>
              <w:spacing w:before="120" w:line="360" w:lineRule="exact"/>
              <w:contextualSpacing/>
              <w:rPr>
                <w:rFonts w:ascii="Times New Roman" w:eastAsia="Calibri" w:hAnsi="Times New Roman"/>
                <w:noProof w:val="0"/>
                <w:sz w:val="22"/>
                <w:szCs w:val="22"/>
              </w:rPr>
            </w:pPr>
            <w:r w:rsidRPr="003C19D2">
              <w:rPr>
                <w:rFonts w:ascii="Times New Roman" w:eastAsia="Calibri" w:hAnsi="Times New Roman"/>
                <w:noProof w:val="0"/>
                <w:sz w:val="22"/>
                <w:szCs w:val="22"/>
              </w:rPr>
              <w:t>1</w:t>
            </w:r>
            <w:r w:rsidR="009B16B2" w:rsidRPr="003C19D2">
              <w:rPr>
                <w:rFonts w:ascii="Times New Roman" w:eastAsia="Calibri" w:hAnsi="Times New Roman"/>
                <w:noProof w:val="0"/>
                <w:sz w:val="22"/>
                <w:szCs w:val="22"/>
              </w:rPr>
              <w:t>030</w:t>
            </w:r>
            <w:r w:rsidR="00CD0076" w:rsidRPr="003C19D2">
              <w:rPr>
                <w:rFonts w:ascii="Times New Roman" w:eastAsia="Calibri" w:hAnsi="Times New Roman"/>
                <w:noProof w:val="0"/>
                <w:sz w:val="22"/>
                <w:szCs w:val="22"/>
              </w:rPr>
              <w:t>5</w:t>
            </w:r>
            <w:r w:rsidR="00863963" w:rsidRPr="003C19D2">
              <w:rPr>
                <w:rFonts w:ascii="Times New Roman" w:eastAsia="Calibri" w:hAnsi="Times New Roman"/>
                <w:noProof w:val="0"/>
                <w:sz w:val="22"/>
                <w:szCs w:val="22"/>
              </w:rPr>
              <w:t>-КС ПИР СМР-202</w:t>
            </w:r>
            <w:r w:rsidR="00873384" w:rsidRPr="003C19D2">
              <w:rPr>
                <w:rFonts w:ascii="Times New Roman" w:eastAsia="Calibri" w:hAnsi="Times New Roman"/>
                <w:noProof w:val="0"/>
                <w:sz w:val="22"/>
                <w:szCs w:val="22"/>
              </w:rPr>
              <w:t>2</w:t>
            </w:r>
            <w:r w:rsidR="00863963" w:rsidRPr="003C19D2">
              <w:rPr>
                <w:rFonts w:ascii="Times New Roman" w:eastAsia="Calibri" w:hAnsi="Times New Roman"/>
                <w:noProof w:val="0"/>
                <w:sz w:val="22"/>
                <w:szCs w:val="22"/>
              </w:rPr>
              <w:t>-ДРСК</w:t>
            </w:r>
          </w:p>
        </w:tc>
      </w:tr>
      <w:tr w:rsidR="00C13822" w:rsidRPr="00C13822" w:rsidTr="003C19D2">
        <w:trPr>
          <w:trHeight w:val="69"/>
        </w:trPr>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3C19D2" w:rsidRDefault="00CD0076" w:rsidP="003C19D2">
            <w:pPr>
              <w:spacing w:before="120" w:line="360" w:lineRule="exact"/>
              <w:contextualSpacing/>
              <w:rPr>
                <w:rFonts w:ascii="Times New Roman" w:eastAsia="Calibri" w:hAnsi="Times New Roman"/>
                <w:noProof w:val="0"/>
                <w:sz w:val="22"/>
                <w:szCs w:val="22"/>
              </w:rPr>
            </w:pPr>
            <w:r w:rsidRPr="003C19D2">
              <w:rPr>
                <w:rFonts w:ascii="Times New Roman" w:eastAsia="Calibri" w:hAnsi="Times New Roman"/>
                <w:noProof w:val="0"/>
                <w:sz w:val="22"/>
                <w:szCs w:val="22"/>
              </w:rPr>
              <w:t>3 361 707,00</w:t>
            </w:r>
            <w:r w:rsidR="001D55BA" w:rsidRPr="003C19D2">
              <w:rPr>
                <w:rFonts w:ascii="Times New Roman" w:eastAsia="Calibri" w:hAnsi="Times New Roman"/>
                <w:noProof w:val="0"/>
                <w:sz w:val="22"/>
                <w:szCs w:val="22"/>
              </w:rPr>
              <w:t xml:space="preserve"> </w:t>
            </w:r>
            <w:r w:rsidR="00FF6431" w:rsidRPr="003C19D2">
              <w:rPr>
                <w:rFonts w:ascii="Times New Roman" w:eastAsia="Calibri" w:hAnsi="Times New Roman"/>
                <w:noProof w:val="0"/>
                <w:sz w:val="22"/>
                <w:szCs w:val="22"/>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bookmarkStart w:id="0" w:name="_GoBack"/>
      <w:bookmarkEnd w:id="0"/>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3C19D2" w:rsidRPr="00C13822" w:rsidRDefault="00C13822" w:rsidP="003C19D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3C19D2">
        <w:rPr>
          <w:rFonts w:ascii="Times New Roman" w:eastAsia="Calibri" w:hAnsi="Times New Roman"/>
          <w:noProof w:val="0"/>
          <w:sz w:val="26"/>
          <w:szCs w:val="26"/>
        </w:rPr>
        <w:tab/>
      </w:r>
      <w:r w:rsidR="003C19D2">
        <w:rPr>
          <w:rFonts w:ascii="Times New Roman" w:eastAsia="Calibri" w:hAnsi="Times New Roman"/>
          <w:noProof w:val="0"/>
          <w:sz w:val="26"/>
          <w:szCs w:val="26"/>
        </w:rPr>
        <w:t>(приложения</w:t>
      </w:r>
      <w:r w:rsidR="003C19D2">
        <w:rPr>
          <w:rFonts w:ascii="Times New Roman" w:eastAsia="Calibri" w:hAnsi="Times New Roman"/>
          <w:noProof w:val="0"/>
          <w:sz w:val="26"/>
          <w:szCs w:val="26"/>
        </w:rPr>
        <w:t xml:space="preserve"> к техническим</w:t>
      </w:r>
      <w:r w:rsidR="003C19D2">
        <w:rPr>
          <w:rFonts w:ascii="Times New Roman" w:eastAsia="Calibri" w:hAnsi="Times New Roman"/>
          <w:noProof w:val="0"/>
          <w:sz w:val="26"/>
          <w:szCs w:val="26"/>
        </w:rPr>
        <w:t xml:space="preserve"> требованиям).</w:t>
      </w:r>
    </w:p>
    <w:p w:rsidR="00C13822" w:rsidRPr="00C13822" w:rsidRDefault="00C13822" w:rsidP="003C19D2">
      <w:pPr>
        <w:tabs>
          <w:tab w:val="left" w:pos="7112"/>
        </w:tabs>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spacing w:before="120" w:line="360" w:lineRule="exact"/>
        <w:jc w:val="both"/>
        <w:rPr>
          <w:rFonts w:ascii="Times New Roman" w:eastAsia="Calibri" w:hAnsi="Times New Roman"/>
          <w:noProof w:val="0"/>
          <w:sz w:val="26"/>
          <w:szCs w:val="26"/>
        </w:rPr>
      </w:pPr>
    </w:p>
    <w:p w:rsidR="00C13822" w:rsidRPr="00C13822" w:rsidRDefault="00C13822" w:rsidP="00C13822">
      <w:pPr>
        <w:spacing w:before="120" w:line="360" w:lineRule="exact"/>
        <w:jc w:val="both"/>
        <w:rPr>
          <w:rFonts w:ascii="Times New Roman" w:eastAsia="Calibri" w:hAnsi="Times New Roman"/>
          <w:noProof w:val="0"/>
          <w:sz w:val="26"/>
          <w:szCs w:val="26"/>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DFE" w:rsidRDefault="00296DFE">
      <w:r>
        <w:separator/>
      </w:r>
    </w:p>
  </w:endnote>
  <w:endnote w:type="continuationSeparator" w:id="0">
    <w:p w:rsidR="00296DFE" w:rsidRDefault="0029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DFE" w:rsidRDefault="00296DFE">
      <w:r>
        <w:separator/>
      </w:r>
    </w:p>
  </w:footnote>
  <w:footnote w:type="continuationSeparator" w:id="0">
    <w:p w:rsidR="00296DFE" w:rsidRDefault="00296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FF6431">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535DE"/>
    <w:rsid w:val="0017740A"/>
    <w:rsid w:val="00191155"/>
    <w:rsid w:val="001A7777"/>
    <w:rsid w:val="001D117F"/>
    <w:rsid w:val="001D55BA"/>
    <w:rsid w:val="001E2CE9"/>
    <w:rsid w:val="001F2571"/>
    <w:rsid w:val="00203E1D"/>
    <w:rsid w:val="002041E1"/>
    <w:rsid w:val="00206A95"/>
    <w:rsid w:val="002209E5"/>
    <w:rsid w:val="00220E4B"/>
    <w:rsid w:val="00242305"/>
    <w:rsid w:val="00243C89"/>
    <w:rsid w:val="00243DD0"/>
    <w:rsid w:val="00257933"/>
    <w:rsid w:val="00265837"/>
    <w:rsid w:val="00296DFE"/>
    <w:rsid w:val="002B3A8E"/>
    <w:rsid w:val="002B6ADB"/>
    <w:rsid w:val="003031B6"/>
    <w:rsid w:val="00304CA3"/>
    <w:rsid w:val="00317A4D"/>
    <w:rsid w:val="003255D6"/>
    <w:rsid w:val="00336344"/>
    <w:rsid w:val="0035676E"/>
    <w:rsid w:val="003614C4"/>
    <w:rsid w:val="003619CB"/>
    <w:rsid w:val="0036656B"/>
    <w:rsid w:val="003805A9"/>
    <w:rsid w:val="003A15E7"/>
    <w:rsid w:val="003C19D2"/>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10A89"/>
    <w:rsid w:val="00620E96"/>
    <w:rsid w:val="00632222"/>
    <w:rsid w:val="00680FD6"/>
    <w:rsid w:val="006B7434"/>
    <w:rsid w:val="006E6DE3"/>
    <w:rsid w:val="006F668B"/>
    <w:rsid w:val="00734ABD"/>
    <w:rsid w:val="00744264"/>
    <w:rsid w:val="00756E22"/>
    <w:rsid w:val="00757EAB"/>
    <w:rsid w:val="00760F3C"/>
    <w:rsid w:val="00777D10"/>
    <w:rsid w:val="007B7F12"/>
    <w:rsid w:val="007D28B5"/>
    <w:rsid w:val="00802F00"/>
    <w:rsid w:val="008151A0"/>
    <w:rsid w:val="00823239"/>
    <w:rsid w:val="00847B99"/>
    <w:rsid w:val="00860579"/>
    <w:rsid w:val="00863963"/>
    <w:rsid w:val="00873384"/>
    <w:rsid w:val="008A14A9"/>
    <w:rsid w:val="008C0F5D"/>
    <w:rsid w:val="008C73DE"/>
    <w:rsid w:val="008D1E5C"/>
    <w:rsid w:val="008D3453"/>
    <w:rsid w:val="008D3D81"/>
    <w:rsid w:val="008F7426"/>
    <w:rsid w:val="0091329B"/>
    <w:rsid w:val="00914244"/>
    <w:rsid w:val="00914A42"/>
    <w:rsid w:val="009208D9"/>
    <w:rsid w:val="009429DA"/>
    <w:rsid w:val="009732BF"/>
    <w:rsid w:val="009B16B2"/>
    <w:rsid w:val="009B17C7"/>
    <w:rsid w:val="009C129A"/>
    <w:rsid w:val="009D7410"/>
    <w:rsid w:val="009E568D"/>
    <w:rsid w:val="009F5B26"/>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CD0076"/>
    <w:rsid w:val="00D002CA"/>
    <w:rsid w:val="00D00EA5"/>
    <w:rsid w:val="00D41DF7"/>
    <w:rsid w:val="00D475C4"/>
    <w:rsid w:val="00D6795A"/>
    <w:rsid w:val="00DB6785"/>
    <w:rsid w:val="00DE30DF"/>
    <w:rsid w:val="00DE3F5B"/>
    <w:rsid w:val="00DE7684"/>
    <w:rsid w:val="00DF4D67"/>
    <w:rsid w:val="00E15367"/>
    <w:rsid w:val="00E46755"/>
    <w:rsid w:val="00E52742"/>
    <w:rsid w:val="00E821AF"/>
    <w:rsid w:val="00E90A07"/>
    <w:rsid w:val="00E9464E"/>
    <w:rsid w:val="00EA5E21"/>
    <w:rsid w:val="00EE12AF"/>
    <w:rsid w:val="00F204F1"/>
    <w:rsid w:val="00F31D5D"/>
    <w:rsid w:val="00F335C9"/>
    <w:rsid w:val="00F7595B"/>
    <w:rsid w:val="00FA47DF"/>
    <w:rsid w:val="00FA5905"/>
    <w:rsid w:val="00FB30F7"/>
    <w:rsid w:val="00FB64D6"/>
    <w:rsid w:val="00FE4F6C"/>
    <w:rsid w:val="00FE7969"/>
    <w:rsid w:val="00FF6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DE670"/>
  <w14:defaultImageDpi w14:val="300"/>
  <w15:docId w15:val="{BD7A4DFD-951F-45FB-8F6E-9AC130F7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C8E3A-7B3E-4B4F-9B22-A7CBFFF9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91</Words>
  <Characters>522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15</cp:revision>
  <cp:lastPrinted>2021-07-02T09:19:00Z</cp:lastPrinted>
  <dcterms:created xsi:type="dcterms:W3CDTF">2021-07-11T23:31:00Z</dcterms:created>
  <dcterms:modified xsi:type="dcterms:W3CDTF">2022-08-23T23:21:00Z</dcterms:modified>
</cp:coreProperties>
</file>