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9D2" w:rsidRPr="00C13822" w:rsidRDefault="003349D2" w:rsidP="003349D2">
      <w:pPr>
        <w:spacing w:before="120" w:after="120"/>
        <w:ind w:left="426"/>
        <w:jc w:val="both"/>
        <w:rPr>
          <w:rFonts w:ascii="Times New Roman" w:eastAsia="Calibri" w:hAnsi="Times New Roman"/>
          <w:b/>
          <w:noProof w:val="0"/>
          <w:sz w:val="26"/>
          <w:szCs w:val="26"/>
        </w:rPr>
      </w:pPr>
    </w:p>
    <w:p w:rsidR="003349D2" w:rsidRPr="00C13822" w:rsidRDefault="003349D2" w:rsidP="003349D2">
      <w:pPr>
        <w:spacing w:before="360" w:after="120"/>
        <w:ind w:left="425"/>
        <w:jc w:val="center"/>
        <w:rPr>
          <w:rFonts w:ascii="Times New Roman" w:eastAsia="Calibri" w:hAnsi="Times New Roman"/>
          <w:b/>
          <w:caps/>
          <w:noProof w:val="0"/>
          <w:szCs w:val="24"/>
        </w:rPr>
      </w:pPr>
      <w:r w:rsidRPr="00C13822">
        <w:rPr>
          <w:rFonts w:ascii="Times New Roman" w:eastAsia="Calibri" w:hAnsi="Times New Roman"/>
          <w:b/>
          <w:caps/>
          <w:noProof w:val="0"/>
          <w:szCs w:val="24"/>
        </w:rPr>
        <w:t>ОБОСНОВАНИЕ начальной (максимальной) цены договора</w:t>
      </w:r>
      <w:r w:rsidRPr="00C13822">
        <w:rPr>
          <w:rFonts w:ascii="Times New Roman" w:eastAsia="Calibri" w:hAnsi="Times New Roman"/>
          <w:noProof w:val="0"/>
          <w:sz w:val="26"/>
          <w:szCs w:val="26"/>
        </w:rPr>
        <w:t xml:space="preserve"> / </w:t>
      </w:r>
      <w:r w:rsidRPr="00C13822">
        <w:rPr>
          <w:rFonts w:ascii="Times New Roman" w:eastAsia="Calibri" w:hAnsi="Times New Roman"/>
          <w:b/>
          <w:caps/>
          <w:noProof w:val="0"/>
          <w:szCs w:val="24"/>
        </w:rPr>
        <w:t>цены единицы товара, работы, услуги</w:t>
      </w:r>
    </w:p>
    <w:p w:rsidR="003349D2" w:rsidRPr="00C13822" w:rsidRDefault="003349D2" w:rsidP="003349D2">
      <w:pPr>
        <w:spacing w:before="120" w:line="360" w:lineRule="exact"/>
        <w:jc w:val="both"/>
        <w:rPr>
          <w:rFonts w:ascii="Times New Roman" w:eastAsia="Calibri" w:hAnsi="Times New Roman"/>
          <w:i/>
          <w:noProof w:val="0"/>
          <w:sz w:val="26"/>
          <w:szCs w:val="26"/>
          <w:highlight w:val="yellow"/>
        </w:rPr>
      </w:pPr>
    </w:p>
    <w:p w:rsidR="003349D2" w:rsidRPr="00C13822" w:rsidRDefault="003349D2" w:rsidP="003349D2">
      <w:pPr>
        <w:numPr>
          <w:ilvl w:val="0"/>
          <w:numId w:val="1"/>
        </w:numPr>
        <w:spacing w:before="120" w:after="120" w:line="360" w:lineRule="exact"/>
        <w:ind w:left="714" w:hanging="357"/>
        <w:jc w:val="both"/>
        <w:rPr>
          <w:rFonts w:ascii="Times New Roman" w:eastAsia="Calibri" w:hAnsi="Times New Roman"/>
          <w:b/>
          <w:noProof w:val="0"/>
          <w:sz w:val="26"/>
          <w:szCs w:val="26"/>
        </w:rPr>
      </w:pPr>
      <w:r w:rsidRPr="00C13822">
        <w:rPr>
          <w:rFonts w:ascii="Times New Roman" w:eastAsia="Calibri" w:hAnsi="Times New Roman"/>
          <w:b/>
          <w:noProof w:val="0"/>
          <w:sz w:val="26"/>
          <w:szCs w:val="26"/>
        </w:rPr>
        <w:t>Общая информация</w:t>
      </w:r>
    </w:p>
    <w:tbl>
      <w:tblPr>
        <w:tblStyle w:val="1"/>
        <w:tblW w:w="9385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4991"/>
      </w:tblGrid>
      <w:tr w:rsidR="003349D2" w:rsidRPr="00C13822" w:rsidTr="003349D2">
        <w:tc>
          <w:tcPr>
            <w:tcW w:w="709" w:type="dxa"/>
          </w:tcPr>
          <w:p w:rsidR="003349D2" w:rsidRPr="00C13822" w:rsidRDefault="003349D2" w:rsidP="0079627F">
            <w:pPr>
              <w:spacing w:before="120" w:line="360" w:lineRule="exact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  <w:r w:rsidRPr="00C13822">
              <w:rPr>
                <w:rFonts w:ascii="Times New Roman" w:eastAsia="Calibri" w:hAnsi="Times New Roman"/>
                <w:noProof w:val="0"/>
                <w:sz w:val="22"/>
                <w:szCs w:val="22"/>
              </w:rPr>
              <w:t>№ п/п</w:t>
            </w:r>
          </w:p>
        </w:tc>
        <w:tc>
          <w:tcPr>
            <w:tcW w:w="3685" w:type="dxa"/>
          </w:tcPr>
          <w:p w:rsidR="003349D2" w:rsidRPr="00C13822" w:rsidRDefault="003349D2" w:rsidP="0079627F">
            <w:pPr>
              <w:spacing w:before="120" w:line="360" w:lineRule="exact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  <w:r w:rsidRPr="00C13822">
              <w:rPr>
                <w:rFonts w:ascii="Times New Roman" w:eastAsia="Calibri" w:hAnsi="Times New Roman"/>
                <w:noProof w:val="0"/>
                <w:sz w:val="22"/>
                <w:szCs w:val="22"/>
              </w:rPr>
              <w:t>Наименование</w:t>
            </w:r>
          </w:p>
        </w:tc>
        <w:tc>
          <w:tcPr>
            <w:tcW w:w="4991" w:type="dxa"/>
          </w:tcPr>
          <w:p w:rsidR="003349D2" w:rsidRPr="00C13822" w:rsidRDefault="003349D2" w:rsidP="0079627F">
            <w:pPr>
              <w:spacing w:before="120" w:line="360" w:lineRule="exact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  <w:r w:rsidRPr="00C13822">
              <w:rPr>
                <w:rFonts w:ascii="Times New Roman" w:eastAsia="Calibri" w:hAnsi="Times New Roman"/>
                <w:noProof w:val="0"/>
                <w:sz w:val="22"/>
                <w:szCs w:val="22"/>
              </w:rPr>
              <w:t>Информация по лоту</w:t>
            </w:r>
          </w:p>
        </w:tc>
      </w:tr>
      <w:tr w:rsidR="003349D2" w:rsidRPr="00C13822" w:rsidTr="003349D2">
        <w:tc>
          <w:tcPr>
            <w:tcW w:w="709" w:type="dxa"/>
          </w:tcPr>
          <w:p w:rsidR="003349D2" w:rsidRPr="00C13822" w:rsidRDefault="003349D2" w:rsidP="003349D2">
            <w:pPr>
              <w:numPr>
                <w:ilvl w:val="1"/>
                <w:numId w:val="1"/>
              </w:numPr>
              <w:spacing w:before="120" w:after="120" w:line="360" w:lineRule="exact"/>
              <w:ind w:left="0" w:firstLine="0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</w:p>
        </w:tc>
        <w:tc>
          <w:tcPr>
            <w:tcW w:w="3685" w:type="dxa"/>
          </w:tcPr>
          <w:p w:rsidR="003349D2" w:rsidRPr="006E1442" w:rsidRDefault="003349D2" w:rsidP="0079627F">
            <w:pPr>
              <w:spacing w:before="120" w:line="360" w:lineRule="exact"/>
              <w:contextualSpacing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</w:pPr>
            <w:r w:rsidRPr="006E1442">
              <w:rPr>
                <w:rFonts w:ascii="Times New Roman" w:eastAsia="Calibri" w:hAnsi="Times New Roman"/>
                <w:noProof w:val="0"/>
                <w:sz w:val="22"/>
                <w:szCs w:val="22"/>
              </w:rPr>
              <w:t>Наименование лота</w:t>
            </w:r>
          </w:p>
        </w:tc>
        <w:tc>
          <w:tcPr>
            <w:tcW w:w="4991" w:type="dxa"/>
          </w:tcPr>
          <w:p w:rsidR="003349D2" w:rsidRPr="00B22E05" w:rsidRDefault="003349D2" w:rsidP="0079627F">
            <w:pPr>
              <w:spacing w:before="60" w:after="60" w:line="360" w:lineRule="exact"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</w:pPr>
            <w:r w:rsidRPr="003349D2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 xml:space="preserve">  </w:t>
            </w:r>
            <w:r w:rsidR="001C0930" w:rsidRPr="001C0930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 xml:space="preserve">Модернизация узла связи на ПС 110/6 </w:t>
            </w:r>
            <w:proofErr w:type="spellStart"/>
            <w:r w:rsidR="001C0930" w:rsidRPr="001C0930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>кВ</w:t>
            </w:r>
            <w:proofErr w:type="spellEnd"/>
            <w:r w:rsidR="001C0930" w:rsidRPr="001C0930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 xml:space="preserve"> Южная с установкой системы телемеханики - 1 </w:t>
            </w:r>
            <w:proofErr w:type="spellStart"/>
            <w:r w:rsidR="001C0930" w:rsidRPr="001C0930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>шт</w:t>
            </w:r>
            <w:proofErr w:type="spellEnd"/>
          </w:p>
        </w:tc>
      </w:tr>
      <w:tr w:rsidR="003349D2" w:rsidRPr="00C13822" w:rsidTr="003349D2">
        <w:trPr>
          <w:trHeight w:val="558"/>
        </w:trPr>
        <w:tc>
          <w:tcPr>
            <w:tcW w:w="709" w:type="dxa"/>
          </w:tcPr>
          <w:p w:rsidR="003349D2" w:rsidRPr="00C13822" w:rsidRDefault="003349D2" w:rsidP="003349D2">
            <w:pPr>
              <w:numPr>
                <w:ilvl w:val="1"/>
                <w:numId w:val="1"/>
              </w:numPr>
              <w:spacing w:before="120" w:after="120" w:line="360" w:lineRule="exact"/>
              <w:ind w:left="0" w:firstLine="0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</w:p>
        </w:tc>
        <w:tc>
          <w:tcPr>
            <w:tcW w:w="3685" w:type="dxa"/>
          </w:tcPr>
          <w:p w:rsidR="003349D2" w:rsidRPr="00C13822" w:rsidRDefault="003349D2" w:rsidP="0079627F">
            <w:pPr>
              <w:spacing w:before="120" w:line="360" w:lineRule="exact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  <w:r w:rsidRPr="00C13822">
              <w:rPr>
                <w:rFonts w:ascii="Times New Roman" w:eastAsia="Calibri" w:hAnsi="Times New Roman"/>
                <w:noProof w:val="0"/>
                <w:sz w:val="22"/>
                <w:szCs w:val="22"/>
              </w:rPr>
              <w:t>Номер лота</w:t>
            </w:r>
          </w:p>
        </w:tc>
        <w:tc>
          <w:tcPr>
            <w:tcW w:w="4991" w:type="dxa"/>
          </w:tcPr>
          <w:p w:rsidR="003349D2" w:rsidRPr="0087501A" w:rsidRDefault="0087501A" w:rsidP="0079627F">
            <w:pPr>
              <w:spacing w:before="60" w:after="60" w:line="360" w:lineRule="exact"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  <w:r w:rsidRPr="0087501A">
              <w:rPr>
                <w:rFonts w:ascii="Times New Roman" w:eastAsia="Calibri" w:hAnsi="Times New Roman"/>
                <w:noProof w:val="0"/>
                <w:sz w:val="22"/>
                <w:szCs w:val="22"/>
              </w:rPr>
              <w:t>113401-ТПИР ОБСЛ-2022-ДРСК-ПЭС</w:t>
            </w:r>
          </w:p>
        </w:tc>
      </w:tr>
      <w:tr w:rsidR="003349D2" w:rsidRPr="00C13822" w:rsidTr="003349D2">
        <w:tc>
          <w:tcPr>
            <w:tcW w:w="709" w:type="dxa"/>
          </w:tcPr>
          <w:p w:rsidR="003349D2" w:rsidRPr="00C13822" w:rsidRDefault="003349D2" w:rsidP="003349D2">
            <w:pPr>
              <w:numPr>
                <w:ilvl w:val="1"/>
                <w:numId w:val="1"/>
              </w:numPr>
              <w:spacing w:before="120" w:after="120" w:line="360" w:lineRule="exact"/>
              <w:ind w:left="0" w:firstLine="0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</w:p>
        </w:tc>
        <w:tc>
          <w:tcPr>
            <w:tcW w:w="3685" w:type="dxa"/>
          </w:tcPr>
          <w:p w:rsidR="003349D2" w:rsidRPr="00C13822" w:rsidRDefault="003349D2" w:rsidP="0079627F">
            <w:pPr>
              <w:spacing w:before="120" w:line="360" w:lineRule="exact"/>
              <w:contextualSpacing/>
              <w:rPr>
                <w:rFonts w:ascii="Times New Roman" w:eastAsia="Calibri" w:hAnsi="Times New Roman"/>
                <w:noProof w:val="0"/>
                <w:sz w:val="22"/>
                <w:szCs w:val="22"/>
              </w:rPr>
            </w:pPr>
            <w:r w:rsidRPr="00C13822">
              <w:rPr>
                <w:rFonts w:ascii="Times New Roman" w:eastAsia="Calibri" w:hAnsi="Times New Roman"/>
                <w:noProof w:val="0"/>
                <w:sz w:val="22"/>
                <w:szCs w:val="22"/>
              </w:rPr>
              <w:t>НМЦ лота</w:t>
            </w:r>
            <w:bookmarkStart w:id="0" w:name="_GoBack"/>
            <w:bookmarkEnd w:id="0"/>
          </w:p>
        </w:tc>
        <w:tc>
          <w:tcPr>
            <w:tcW w:w="4991" w:type="dxa"/>
          </w:tcPr>
          <w:p w:rsidR="003349D2" w:rsidRPr="00BE5690" w:rsidRDefault="001C0930" w:rsidP="001C0930">
            <w:pPr>
              <w:spacing w:before="60" w:after="60" w:line="360" w:lineRule="exact"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>4</w:t>
            </w:r>
            <w:r w:rsidR="003349D2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>910</w:t>
            </w:r>
            <w:r w:rsidR="003349D2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>284</w:t>
            </w:r>
            <w:r w:rsidR="003349D2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 xml:space="preserve"> 90</w:t>
            </w:r>
            <w:r w:rsidR="003349D2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 xml:space="preserve"> </w:t>
            </w:r>
            <w:r w:rsidR="003349D2" w:rsidRPr="002E66C8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</w:rPr>
              <w:t>руб. без НДС</w:t>
            </w:r>
          </w:p>
        </w:tc>
      </w:tr>
    </w:tbl>
    <w:p w:rsidR="003349D2" w:rsidRPr="00C13822" w:rsidRDefault="003349D2" w:rsidP="003349D2">
      <w:pPr>
        <w:spacing w:before="120" w:line="360" w:lineRule="exact"/>
        <w:jc w:val="both"/>
        <w:rPr>
          <w:rFonts w:ascii="Times New Roman" w:eastAsia="Calibri" w:hAnsi="Times New Roman"/>
          <w:i/>
          <w:noProof w:val="0"/>
          <w:sz w:val="26"/>
          <w:szCs w:val="26"/>
          <w:highlight w:val="yellow"/>
        </w:rPr>
      </w:pPr>
    </w:p>
    <w:p w:rsidR="003349D2" w:rsidRPr="00C13822" w:rsidRDefault="003349D2" w:rsidP="003349D2">
      <w:pPr>
        <w:numPr>
          <w:ilvl w:val="0"/>
          <w:numId w:val="1"/>
        </w:numPr>
        <w:spacing w:before="120" w:after="120" w:line="360" w:lineRule="exact"/>
        <w:ind w:left="714" w:hanging="357"/>
        <w:jc w:val="both"/>
        <w:rPr>
          <w:rFonts w:ascii="Times New Roman" w:eastAsia="Calibri" w:hAnsi="Times New Roman"/>
          <w:b/>
          <w:noProof w:val="0"/>
          <w:sz w:val="26"/>
          <w:szCs w:val="26"/>
        </w:rPr>
      </w:pPr>
      <w:r w:rsidRPr="00C13822">
        <w:rPr>
          <w:rFonts w:ascii="Times New Roman" w:eastAsia="Calibri" w:hAnsi="Times New Roman"/>
          <w:b/>
          <w:noProof w:val="0"/>
          <w:sz w:val="26"/>
          <w:szCs w:val="26"/>
        </w:rPr>
        <w:t>Использованный метод (методы) расчета НМЦ / цены единицы товара, работы, услуги:</w:t>
      </w:r>
    </w:p>
    <w:p w:rsidR="003349D2" w:rsidRDefault="003349D2" w:rsidP="003349D2">
      <w:pPr>
        <w:contextualSpacing/>
        <w:jc w:val="both"/>
        <w:rPr>
          <w:rFonts w:ascii="Times New Roman" w:eastAsia="Calibri" w:hAnsi="Times New Roman"/>
          <w:noProof w:val="0"/>
          <w:sz w:val="26"/>
          <w:szCs w:val="26"/>
        </w:rPr>
      </w:pPr>
      <w:r>
        <w:rPr>
          <w:rFonts w:ascii="Times New Roman" w:eastAsia="Calibri" w:hAnsi="Times New Roman"/>
          <w:noProof w:val="0"/>
          <w:sz w:val="26"/>
          <w:szCs w:val="26"/>
        </w:rPr>
        <w:t>М</w:t>
      </w:r>
      <w:r w:rsidRPr="003E7E38">
        <w:rPr>
          <w:rFonts w:ascii="Times New Roman" w:eastAsia="Calibri" w:hAnsi="Times New Roman"/>
          <w:noProof w:val="0"/>
          <w:sz w:val="26"/>
          <w:szCs w:val="26"/>
        </w:rPr>
        <w:t>етод укрупненных сметных расчетов</w:t>
      </w:r>
    </w:p>
    <w:p w:rsidR="003349D2" w:rsidRDefault="003349D2" w:rsidP="003349D2">
      <w:pPr>
        <w:contextualSpacing/>
        <w:jc w:val="both"/>
        <w:rPr>
          <w:rFonts w:ascii="Times New Roman" w:eastAsia="Calibri" w:hAnsi="Times New Roman"/>
          <w:noProof w:val="0"/>
          <w:sz w:val="26"/>
          <w:szCs w:val="26"/>
        </w:rPr>
      </w:pPr>
    </w:p>
    <w:p w:rsidR="003349D2" w:rsidRDefault="003349D2" w:rsidP="003349D2">
      <w:pPr>
        <w:contextualSpacing/>
        <w:jc w:val="both"/>
        <w:rPr>
          <w:rFonts w:ascii="Times New Roman" w:eastAsia="Calibri" w:hAnsi="Times New Roman"/>
          <w:noProof w:val="0"/>
          <w:sz w:val="26"/>
          <w:szCs w:val="26"/>
        </w:rPr>
      </w:pPr>
      <w:r w:rsidRPr="00C13822">
        <w:rPr>
          <w:rFonts w:ascii="Times New Roman" w:eastAsia="Calibri" w:hAnsi="Times New Roman"/>
          <w:noProof w:val="0"/>
          <w:sz w:val="26"/>
          <w:szCs w:val="26"/>
        </w:rPr>
        <w:t>Обоснование расчета НМЦ: прилагаемые сметные расчеты</w:t>
      </w:r>
    </w:p>
    <w:p w:rsidR="003349D2" w:rsidRDefault="003349D2" w:rsidP="003349D2">
      <w:pPr>
        <w:contextualSpacing/>
        <w:jc w:val="both"/>
        <w:rPr>
          <w:rFonts w:ascii="Times New Roman" w:eastAsia="Calibri" w:hAnsi="Times New Roman"/>
          <w:noProof w:val="0"/>
          <w:sz w:val="26"/>
          <w:szCs w:val="26"/>
        </w:rPr>
      </w:pPr>
    </w:p>
    <w:p w:rsidR="000C4645" w:rsidRDefault="000C4645"/>
    <w:sectPr w:rsidR="000C4645" w:rsidSect="003349D2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02A76"/>
    <w:multiLevelType w:val="multilevel"/>
    <w:tmpl w:val="8A56AA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D2"/>
    <w:rsid w:val="000C4645"/>
    <w:rsid w:val="001C0930"/>
    <w:rsid w:val="003349D2"/>
    <w:rsid w:val="0087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A9F3BD-9570-42C9-BF44-05C47EE34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D2"/>
    <w:pPr>
      <w:spacing w:after="0" w:line="240" w:lineRule="auto"/>
    </w:pPr>
    <w:rPr>
      <w:rFonts w:ascii="Geneva CY" w:eastAsia="Geneva" w:hAnsi="Geneva CY" w:cs="Times New Roman"/>
      <w:noProof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349D2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34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Людмила Васильевна</dc:creator>
  <cp:keywords/>
  <dc:description/>
  <cp:lastModifiedBy>Ирдуганова Ирина Николаевна</cp:lastModifiedBy>
  <cp:revision>3</cp:revision>
  <dcterms:created xsi:type="dcterms:W3CDTF">2021-12-28T22:59:00Z</dcterms:created>
  <dcterms:modified xsi:type="dcterms:W3CDTF">2022-01-24T06:52:00Z</dcterms:modified>
</cp:coreProperties>
</file>