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B97D7D" w:rsidP="00666B9E">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 xml:space="preserve">Линейно-сцепная арматура для </w:t>
            </w:r>
            <w:r w:rsidR="00666B9E">
              <w:rPr>
                <w:rFonts w:ascii="Times New Roman" w:eastAsia="Calibri" w:hAnsi="Times New Roman"/>
                <w:noProof w:val="0"/>
                <w:sz w:val="22"/>
                <w:szCs w:val="22"/>
              </w:rPr>
              <w:t>неизолированного провода</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B97D7D" w:rsidRDefault="00666B9E" w:rsidP="00F141D3">
            <w:pPr>
              <w:spacing w:before="120" w:line="360" w:lineRule="exact"/>
              <w:contextualSpacing/>
              <w:rPr>
                <w:rFonts w:ascii="Times New Roman" w:eastAsia="Calibri" w:hAnsi="Times New Roman"/>
                <w:noProof w:val="0"/>
                <w:sz w:val="22"/>
                <w:szCs w:val="22"/>
              </w:rPr>
            </w:pPr>
            <w:r w:rsidRPr="00666B9E">
              <w:rPr>
                <w:rFonts w:ascii="Times New Roman" w:hAnsi="Times New Roman"/>
                <w:sz w:val="20"/>
              </w:rPr>
              <w:t>9401-РЕМ ПРОД-2022-ДРСК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666B9E"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3 178 328,81</w:t>
            </w:r>
            <w:r w:rsidR="004C03D0">
              <w:rPr>
                <w:rFonts w:ascii="Times New Roman" w:hAnsi="Times New Roman"/>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2419"/>
        <w:gridCol w:w="2212"/>
        <w:gridCol w:w="1928"/>
        <w:gridCol w:w="1621"/>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300364" w:rsidRPr="00C13822" w:rsidTr="00DA06DA">
        <w:trPr>
          <w:trHeight w:val="70"/>
        </w:trPr>
        <w:tc>
          <w:tcPr>
            <w:tcW w:w="1825" w:type="dxa"/>
            <w:vMerge w:val="restart"/>
            <w:shd w:val="clear" w:color="auto" w:fill="auto"/>
          </w:tcPr>
          <w:p w:rsidR="00300364" w:rsidRPr="00673374" w:rsidRDefault="00673374" w:rsidP="00E44CC2">
            <w:pPr>
              <w:spacing w:before="120" w:line="360" w:lineRule="exact"/>
              <w:contextualSpacing/>
              <w:rPr>
                <w:rFonts w:ascii="Times New Roman" w:eastAsia="Calibri" w:hAnsi="Times New Roman"/>
                <w:i/>
                <w:noProof w:val="0"/>
                <w:sz w:val="20"/>
              </w:rPr>
            </w:pPr>
            <w:r w:rsidRPr="00673374">
              <w:rPr>
                <w:rFonts w:ascii="Times New Roman" w:eastAsia="Calibri" w:hAnsi="Times New Roman"/>
                <w:i/>
                <w:noProof w:val="0"/>
                <w:sz w:val="22"/>
                <w:szCs w:val="22"/>
              </w:rPr>
              <w:t xml:space="preserve">Линейно-сцепная арматура для </w:t>
            </w:r>
            <w:r w:rsidR="00E44CC2">
              <w:rPr>
                <w:rFonts w:ascii="Times New Roman" w:eastAsia="Calibri" w:hAnsi="Times New Roman"/>
                <w:i/>
                <w:noProof w:val="0"/>
                <w:sz w:val="22"/>
                <w:szCs w:val="22"/>
              </w:rPr>
              <w:t>неизолированного провода</w:t>
            </w:r>
          </w:p>
        </w:tc>
        <w:tc>
          <w:tcPr>
            <w:tcW w:w="2438" w:type="dxa"/>
            <w:shd w:val="clear" w:color="auto" w:fill="auto"/>
          </w:tcPr>
          <w:p w:rsidR="00300364" w:rsidRPr="00C13822" w:rsidRDefault="00E44CC2" w:rsidP="00300364">
            <w:pPr>
              <w:spacing w:before="60" w:after="60"/>
              <w:rPr>
                <w:rFonts w:ascii="Times New Roman" w:eastAsia="Times New Roman" w:hAnsi="Times New Roman"/>
                <w:i/>
                <w:noProof w:val="0"/>
                <w:snapToGrid w:val="0"/>
                <w:sz w:val="20"/>
                <w:shd w:val="clear" w:color="auto" w:fill="FFFF99"/>
                <w:lang w:eastAsia="ru-RU"/>
              </w:rPr>
            </w:pPr>
            <w:r w:rsidRPr="00673374">
              <w:rPr>
                <w:rFonts w:ascii="Times New Roman" w:eastAsia="Calibri" w:hAnsi="Times New Roman"/>
                <w:i/>
                <w:noProof w:val="0"/>
                <w:sz w:val="22"/>
                <w:szCs w:val="22"/>
              </w:rPr>
              <w:t xml:space="preserve">Линейно-сцепная арматура для </w:t>
            </w:r>
            <w:r>
              <w:rPr>
                <w:rFonts w:ascii="Times New Roman" w:eastAsia="Calibri" w:hAnsi="Times New Roman"/>
                <w:i/>
                <w:noProof w:val="0"/>
                <w:sz w:val="22"/>
                <w:szCs w:val="22"/>
              </w:rPr>
              <w:t>неизолированного провода</w:t>
            </w:r>
            <w:r w:rsidR="00920433"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Оферта № 1</w:t>
            </w:r>
          </w:p>
        </w:tc>
        <w:tc>
          <w:tcPr>
            <w:tcW w:w="2224" w:type="dxa"/>
            <w:shd w:val="clear" w:color="auto" w:fill="auto"/>
          </w:tcPr>
          <w:p w:rsidR="00300364" w:rsidRPr="00155FD7" w:rsidRDefault="00011DE0"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3 175 000,62</w:t>
            </w:r>
          </w:p>
        </w:tc>
        <w:tc>
          <w:tcPr>
            <w:tcW w:w="1952" w:type="dxa"/>
            <w:vMerge w:val="restart"/>
            <w:shd w:val="clear" w:color="auto" w:fill="auto"/>
          </w:tcPr>
          <w:p w:rsidR="00300364" w:rsidRPr="00D208C4" w:rsidRDefault="00E44CC2" w:rsidP="00300364">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3 178 328,81</w:t>
            </w:r>
          </w:p>
        </w:tc>
        <w:tc>
          <w:tcPr>
            <w:tcW w:w="1626" w:type="dxa"/>
            <w:vMerge w:val="restart"/>
            <w:tcBorders>
              <w:top w:val="single" w:sz="4" w:space="0" w:color="auto"/>
              <w:left w:val="nil"/>
              <w:right w:val="single" w:sz="4" w:space="0" w:color="auto"/>
            </w:tcBorders>
            <w:shd w:val="clear" w:color="auto" w:fill="auto"/>
          </w:tcPr>
          <w:p w:rsidR="00300364" w:rsidRPr="004559F2" w:rsidRDefault="00300364" w:rsidP="00300364">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Сформирована цена лота на основе средней из трёх оферт</w:t>
            </w: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300364" w:rsidRPr="00C13822" w:rsidRDefault="00E44CC2" w:rsidP="00300364">
            <w:pPr>
              <w:spacing w:before="60" w:after="60"/>
              <w:rPr>
                <w:rFonts w:ascii="Times New Roman" w:eastAsia="Times New Roman" w:hAnsi="Times New Roman"/>
                <w:i/>
                <w:noProof w:val="0"/>
                <w:snapToGrid w:val="0"/>
                <w:sz w:val="20"/>
                <w:shd w:val="clear" w:color="auto" w:fill="FFFF99"/>
                <w:lang w:eastAsia="ru-RU"/>
              </w:rPr>
            </w:pPr>
            <w:r w:rsidRPr="00673374">
              <w:rPr>
                <w:rFonts w:ascii="Times New Roman" w:eastAsia="Calibri" w:hAnsi="Times New Roman"/>
                <w:i/>
                <w:noProof w:val="0"/>
                <w:sz w:val="22"/>
                <w:szCs w:val="22"/>
              </w:rPr>
              <w:t xml:space="preserve">Линейно-сцепная арматура для </w:t>
            </w:r>
            <w:r>
              <w:rPr>
                <w:rFonts w:ascii="Times New Roman" w:eastAsia="Calibri" w:hAnsi="Times New Roman"/>
                <w:i/>
                <w:noProof w:val="0"/>
                <w:sz w:val="22"/>
                <w:szCs w:val="22"/>
              </w:rPr>
              <w:t>неизолированного провода</w:t>
            </w:r>
            <w:r w:rsidR="00920433"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 xml:space="preserve">Оферта № </w:t>
            </w:r>
            <w:r w:rsidR="00300364">
              <w:rPr>
                <w:rFonts w:ascii="Times New Roman" w:eastAsia="Times New Roman" w:hAnsi="Times New Roman"/>
                <w:i/>
                <w:noProof w:val="0"/>
                <w:snapToGrid w:val="0"/>
                <w:sz w:val="20"/>
                <w:lang w:eastAsia="ru-RU"/>
              </w:rPr>
              <w:t>2</w:t>
            </w:r>
          </w:p>
        </w:tc>
        <w:tc>
          <w:tcPr>
            <w:tcW w:w="2224" w:type="dxa"/>
            <w:shd w:val="clear" w:color="auto" w:fill="auto"/>
          </w:tcPr>
          <w:p w:rsidR="00300364" w:rsidRPr="00C13822" w:rsidRDefault="00011DE0"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3 182 256,98</w:t>
            </w:r>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300364" w:rsidRPr="00C13822" w:rsidRDefault="00E44CC2" w:rsidP="00300364">
            <w:pPr>
              <w:spacing w:before="60" w:after="60"/>
              <w:rPr>
                <w:rFonts w:ascii="Times New Roman" w:eastAsia="Times New Roman" w:hAnsi="Times New Roman"/>
                <w:i/>
                <w:noProof w:val="0"/>
                <w:snapToGrid w:val="0"/>
                <w:sz w:val="20"/>
                <w:shd w:val="clear" w:color="auto" w:fill="FFFF99"/>
                <w:lang w:eastAsia="ru-RU"/>
              </w:rPr>
            </w:pPr>
            <w:r w:rsidRPr="00673374">
              <w:rPr>
                <w:rFonts w:ascii="Times New Roman" w:eastAsia="Calibri" w:hAnsi="Times New Roman"/>
                <w:i/>
                <w:noProof w:val="0"/>
                <w:sz w:val="22"/>
                <w:szCs w:val="22"/>
              </w:rPr>
              <w:t xml:space="preserve">Линейно-сцепная арматура для </w:t>
            </w:r>
            <w:r>
              <w:rPr>
                <w:rFonts w:ascii="Times New Roman" w:eastAsia="Calibri" w:hAnsi="Times New Roman"/>
                <w:i/>
                <w:noProof w:val="0"/>
                <w:sz w:val="22"/>
                <w:szCs w:val="22"/>
              </w:rPr>
              <w:t>неизолированного провода</w:t>
            </w:r>
            <w:r w:rsidR="00920433"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 xml:space="preserve">Оферта № </w:t>
            </w:r>
            <w:r w:rsidR="00300364">
              <w:rPr>
                <w:rFonts w:ascii="Times New Roman" w:eastAsia="Times New Roman" w:hAnsi="Times New Roman"/>
                <w:i/>
                <w:noProof w:val="0"/>
                <w:snapToGrid w:val="0"/>
                <w:sz w:val="20"/>
                <w:lang w:eastAsia="ru-RU"/>
              </w:rPr>
              <w:t>3</w:t>
            </w:r>
          </w:p>
        </w:tc>
        <w:tc>
          <w:tcPr>
            <w:tcW w:w="2224" w:type="dxa"/>
            <w:shd w:val="clear" w:color="auto" w:fill="auto"/>
          </w:tcPr>
          <w:p w:rsidR="00300364" w:rsidRPr="00C13822" w:rsidRDefault="00011DE0"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3 177 728,83</w:t>
            </w:r>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712" w:rsidRDefault="00276712">
      <w:r>
        <w:separator/>
      </w:r>
    </w:p>
  </w:endnote>
  <w:endnote w:type="continuationSeparator" w:id="0">
    <w:p w:rsidR="00276712" w:rsidRDefault="00276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000"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712" w:rsidRDefault="00276712">
      <w:r>
        <w:separator/>
      </w:r>
    </w:p>
  </w:footnote>
  <w:footnote w:type="continuationSeparator" w:id="0">
    <w:p w:rsidR="00276712" w:rsidRDefault="00276712">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1DE0"/>
    <w:rsid w:val="00013AF2"/>
    <w:rsid w:val="000370DF"/>
    <w:rsid w:val="00043B7E"/>
    <w:rsid w:val="00063CD1"/>
    <w:rsid w:val="00071609"/>
    <w:rsid w:val="00092EEC"/>
    <w:rsid w:val="000933FD"/>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D117F"/>
    <w:rsid w:val="001E28D7"/>
    <w:rsid w:val="001E2CE9"/>
    <w:rsid w:val="001F2571"/>
    <w:rsid w:val="002005BA"/>
    <w:rsid w:val="00203E1D"/>
    <w:rsid w:val="002041E1"/>
    <w:rsid w:val="002046F9"/>
    <w:rsid w:val="00206A95"/>
    <w:rsid w:val="00220E4B"/>
    <w:rsid w:val="00242305"/>
    <w:rsid w:val="00243C89"/>
    <w:rsid w:val="00243DD0"/>
    <w:rsid w:val="00257933"/>
    <w:rsid w:val="00265837"/>
    <w:rsid w:val="00276712"/>
    <w:rsid w:val="00287F6C"/>
    <w:rsid w:val="00297467"/>
    <w:rsid w:val="002B3A8E"/>
    <w:rsid w:val="002B6ADB"/>
    <w:rsid w:val="002D2D2E"/>
    <w:rsid w:val="003000D8"/>
    <w:rsid w:val="00300364"/>
    <w:rsid w:val="00304CA3"/>
    <w:rsid w:val="00317A4D"/>
    <w:rsid w:val="003255D6"/>
    <w:rsid w:val="003278A5"/>
    <w:rsid w:val="00336344"/>
    <w:rsid w:val="003471E2"/>
    <w:rsid w:val="003544EF"/>
    <w:rsid w:val="0035676E"/>
    <w:rsid w:val="003614C4"/>
    <w:rsid w:val="003619CB"/>
    <w:rsid w:val="0036656B"/>
    <w:rsid w:val="00375AE1"/>
    <w:rsid w:val="003805A9"/>
    <w:rsid w:val="003A15E7"/>
    <w:rsid w:val="003C4F50"/>
    <w:rsid w:val="00415278"/>
    <w:rsid w:val="004338B0"/>
    <w:rsid w:val="00446E6F"/>
    <w:rsid w:val="00457B4B"/>
    <w:rsid w:val="0049024A"/>
    <w:rsid w:val="004C03D0"/>
    <w:rsid w:val="004E464F"/>
    <w:rsid w:val="004F4D81"/>
    <w:rsid w:val="004F78BF"/>
    <w:rsid w:val="005022AF"/>
    <w:rsid w:val="00510C31"/>
    <w:rsid w:val="005158A2"/>
    <w:rsid w:val="00545AC0"/>
    <w:rsid w:val="005518AE"/>
    <w:rsid w:val="00562661"/>
    <w:rsid w:val="00570020"/>
    <w:rsid w:val="00585529"/>
    <w:rsid w:val="00593A6B"/>
    <w:rsid w:val="005A41DC"/>
    <w:rsid w:val="005D35D1"/>
    <w:rsid w:val="005E08C5"/>
    <w:rsid w:val="005E139B"/>
    <w:rsid w:val="005F30B7"/>
    <w:rsid w:val="006045C9"/>
    <w:rsid w:val="00620E96"/>
    <w:rsid w:val="00632222"/>
    <w:rsid w:val="006448D8"/>
    <w:rsid w:val="006602AD"/>
    <w:rsid w:val="00666B9E"/>
    <w:rsid w:val="00673374"/>
    <w:rsid w:val="00680FD6"/>
    <w:rsid w:val="006B7434"/>
    <w:rsid w:val="006D42D6"/>
    <w:rsid w:val="006E6DE3"/>
    <w:rsid w:val="006F668B"/>
    <w:rsid w:val="0070186E"/>
    <w:rsid w:val="00734ABD"/>
    <w:rsid w:val="007402F2"/>
    <w:rsid w:val="00744264"/>
    <w:rsid w:val="00747386"/>
    <w:rsid w:val="00752BFD"/>
    <w:rsid w:val="00757EAB"/>
    <w:rsid w:val="00760F3C"/>
    <w:rsid w:val="007B7F12"/>
    <w:rsid w:val="007D28B5"/>
    <w:rsid w:val="00802F00"/>
    <w:rsid w:val="008151A0"/>
    <w:rsid w:val="00823239"/>
    <w:rsid w:val="00827CCC"/>
    <w:rsid w:val="00847B99"/>
    <w:rsid w:val="00850B89"/>
    <w:rsid w:val="00860579"/>
    <w:rsid w:val="00884C69"/>
    <w:rsid w:val="008A14A9"/>
    <w:rsid w:val="008B0EAB"/>
    <w:rsid w:val="008C0F5D"/>
    <w:rsid w:val="008C73DE"/>
    <w:rsid w:val="008D1E5C"/>
    <w:rsid w:val="008D3453"/>
    <w:rsid w:val="008D3D81"/>
    <w:rsid w:val="008F7426"/>
    <w:rsid w:val="0091329B"/>
    <w:rsid w:val="00914244"/>
    <w:rsid w:val="00914A42"/>
    <w:rsid w:val="00920433"/>
    <w:rsid w:val="009208D9"/>
    <w:rsid w:val="00922CC3"/>
    <w:rsid w:val="009429DA"/>
    <w:rsid w:val="0095575B"/>
    <w:rsid w:val="009732BF"/>
    <w:rsid w:val="009B2B80"/>
    <w:rsid w:val="009C129A"/>
    <w:rsid w:val="009D7410"/>
    <w:rsid w:val="009E568D"/>
    <w:rsid w:val="00A0507F"/>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97D7D"/>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157E2"/>
    <w:rsid w:val="00D208C4"/>
    <w:rsid w:val="00D41DF7"/>
    <w:rsid w:val="00D475C4"/>
    <w:rsid w:val="00D6795A"/>
    <w:rsid w:val="00DA06DA"/>
    <w:rsid w:val="00DB6785"/>
    <w:rsid w:val="00DC6563"/>
    <w:rsid w:val="00DE30DF"/>
    <w:rsid w:val="00DE3F5B"/>
    <w:rsid w:val="00DE4472"/>
    <w:rsid w:val="00DE7684"/>
    <w:rsid w:val="00DF023B"/>
    <w:rsid w:val="00DF4D67"/>
    <w:rsid w:val="00E03975"/>
    <w:rsid w:val="00E10C59"/>
    <w:rsid w:val="00E15367"/>
    <w:rsid w:val="00E44CC2"/>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A9593-8256-48EF-96A0-1C3D4BE93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147</Words>
  <Characters>842</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105</cp:revision>
  <cp:lastPrinted>2021-07-02T09:19:00Z</cp:lastPrinted>
  <dcterms:created xsi:type="dcterms:W3CDTF">2021-07-05T12:53:00Z</dcterms:created>
  <dcterms:modified xsi:type="dcterms:W3CDTF">2021-10-11T23:36:00Z</dcterms:modified>
</cp:coreProperties>
</file>