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1F1867">
        <w:rPr>
          <w:b/>
          <w:sz w:val="26"/>
          <w:szCs w:val="26"/>
        </w:rPr>
        <w:t xml:space="preserve"> </w:t>
      </w:r>
      <w:r w:rsidR="00E71762">
        <w:rPr>
          <w:b/>
          <w:sz w:val="26"/>
          <w:szCs w:val="26"/>
        </w:rPr>
        <w:t>4</w:t>
      </w:r>
      <w:r w:rsidR="002C6705" w:rsidRPr="002C6705">
        <w:rPr>
          <w:b/>
          <w:sz w:val="26"/>
          <w:szCs w:val="26"/>
        </w:rPr>
        <w:t xml:space="preserve"> от</w:t>
      </w:r>
      <w:r w:rsidR="002C6705">
        <w:rPr>
          <w:b/>
          <w:sz w:val="26"/>
          <w:szCs w:val="26"/>
        </w:rPr>
        <w:t xml:space="preserve"> </w:t>
      </w:r>
      <w:r w:rsidR="000A47E0">
        <w:rPr>
          <w:b/>
          <w:sz w:val="26"/>
          <w:szCs w:val="26"/>
        </w:rPr>
        <w:softHyphen/>
      </w:r>
      <w:r w:rsidR="000A47E0">
        <w:rPr>
          <w:b/>
          <w:sz w:val="26"/>
          <w:szCs w:val="26"/>
        </w:rPr>
        <w:softHyphen/>
      </w:r>
      <w:r w:rsidR="000A47E0">
        <w:rPr>
          <w:b/>
          <w:sz w:val="26"/>
          <w:szCs w:val="26"/>
        </w:rPr>
        <w:softHyphen/>
      </w:r>
      <w:r w:rsidR="000A47E0">
        <w:rPr>
          <w:b/>
          <w:sz w:val="26"/>
          <w:szCs w:val="26"/>
        </w:rPr>
        <w:softHyphen/>
        <w:t>15</w:t>
      </w:r>
      <w:r w:rsidR="001F1867">
        <w:rPr>
          <w:b/>
          <w:sz w:val="26"/>
          <w:szCs w:val="26"/>
        </w:rPr>
        <w:t>.11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1F1867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1F1867">
        <w:rPr>
          <w:b/>
          <w:sz w:val="26"/>
          <w:szCs w:val="26"/>
        </w:rPr>
        <w:t>Изоляторы проходные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1F1867" w:rsidRPr="001F1867">
        <w:rPr>
          <w:sz w:val="26"/>
          <w:szCs w:val="26"/>
        </w:rPr>
        <w:t>8801-РЕМ ПРОД-2022-ДРСК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1F1867">
      <w:pPr>
        <w:widowControl w:val="0"/>
        <w:autoSpaceDE w:val="0"/>
        <w:autoSpaceDN w:val="0"/>
        <w:adjustRightInd w:val="0"/>
        <w:spacing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E71762">
        <w:rPr>
          <w:color w:val="16181C"/>
          <w:sz w:val="26"/>
          <w:szCs w:val="26"/>
          <w:u w:val="single"/>
        </w:rPr>
        <w:t>12</w:t>
      </w:r>
      <w:r w:rsidR="001F1867">
        <w:rPr>
          <w:color w:val="16181C"/>
          <w:sz w:val="26"/>
          <w:szCs w:val="26"/>
          <w:u w:val="single"/>
        </w:rPr>
        <w:t>.11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sz w:val="26"/>
          <w:szCs w:val="26"/>
          <w:u w:val="single"/>
        </w:rPr>
        <w:t xml:space="preserve">Разъяснения по Техническим требованиям </w:t>
      </w:r>
    </w:p>
    <w:p w:rsidR="001F1867" w:rsidRDefault="001F1867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E71762" w:rsidRPr="00161448" w:rsidRDefault="00E71762" w:rsidP="00E71762">
      <w:pPr>
        <w:spacing w:before="120" w:line="240" w:lineRule="auto"/>
        <w:ind w:firstLine="0"/>
        <w:jc w:val="left"/>
        <w:rPr>
          <w:color w:val="16181C"/>
          <w:sz w:val="26"/>
          <w:szCs w:val="26"/>
        </w:rPr>
      </w:pPr>
      <w:r w:rsidRPr="00161448">
        <w:rPr>
          <w:color w:val="16181C"/>
          <w:sz w:val="26"/>
          <w:szCs w:val="26"/>
        </w:rPr>
        <w:t>Просим уточнить, в случае если при указани</w:t>
      </w:r>
      <w:bookmarkStart w:id="0" w:name="_GoBack"/>
      <w:bookmarkEnd w:id="0"/>
      <w:r w:rsidRPr="00161448">
        <w:rPr>
          <w:color w:val="16181C"/>
          <w:sz w:val="26"/>
          <w:szCs w:val="26"/>
        </w:rPr>
        <w:t xml:space="preserve">и в Коммерческом </w:t>
      </w:r>
      <w:proofErr w:type="gramStart"/>
      <w:r w:rsidRPr="00161448">
        <w:rPr>
          <w:color w:val="16181C"/>
          <w:sz w:val="26"/>
          <w:szCs w:val="26"/>
        </w:rPr>
        <w:t>предложении(</w:t>
      </w:r>
      <w:proofErr w:type="gramEnd"/>
      <w:r w:rsidRPr="00161448">
        <w:rPr>
          <w:color w:val="16181C"/>
          <w:sz w:val="26"/>
          <w:szCs w:val="26"/>
        </w:rPr>
        <w:t>Структура НМЦ) по форме таблицы Предлагаем</w:t>
      </w:r>
      <w:r>
        <w:rPr>
          <w:color w:val="16181C"/>
          <w:sz w:val="26"/>
          <w:szCs w:val="26"/>
        </w:rPr>
        <w:t xml:space="preserve">ая цена одной единицы продукции </w:t>
      </w:r>
      <w:r w:rsidRPr="00161448">
        <w:rPr>
          <w:color w:val="16181C"/>
          <w:sz w:val="26"/>
          <w:szCs w:val="26"/>
        </w:rPr>
        <w:t>(руб. без НДС) будет превышать НМЦ единицы продукции (руб. без НДС) в соответствии с наименованием Товара, заявка будет признана несоответствующей?</w:t>
      </w:r>
    </w:p>
    <w:p w:rsidR="00081211" w:rsidRPr="00E71762" w:rsidRDefault="00081211" w:rsidP="00E71762">
      <w:pPr>
        <w:spacing w:before="120" w:line="240" w:lineRule="auto"/>
        <w:ind w:firstLine="0"/>
        <w:jc w:val="left"/>
        <w:rPr>
          <w:color w:val="16181C"/>
          <w:sz w:val="26"/>
          <w:szCs w:val="26"/>
        </w:rPr>
      </w:pPr>
    </w:p>
    <w:p w:rsidR="003B062A" w:rsidRDefault="003B062A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4E451C" w:rsidRDefault="000C490D" w:rsidP="004E451C">
      <w:pPr>
        <w:spacing w:before="120" w:line="240" w:lineRule="auto"/>
        <w:ind w:firstLine="0"/>
        <w:rPr>
          <w:sz w:val="26"/>
          <w:szCs w:val="26"/>
        </w:rPr>
      </w:pPr>
      <w:r>
        <w:rPr>
          <w:color w:val="16181C"/>
          <w:sz w:val="26"/>
          <w:szCs w:val="26"/>
        </w:rPr>
        <w:t>В соответствии с п. 2.3. Технических требований на проведение закупки: «</w:t>
      </w:r>
      <w:r>
        <w:rPr>
          <w:sz w:val="26"/>
          <w:szCs w:val="26"/>
        </w:rPr>
        <w:t>Предлагаемые Участником цены за каждую единицу продукции, не должны превышать цен, указанных Заказчиком в НМЦ».</w:t>
      </w:r>
    </w:p>
    <w:p w:rsidR="000C490D" w:rsidRDefault="000C490D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  <w:r>
        <w:rPr>
          <w:sz w:val="26"/>
          <w:szCs w:val="26"/>
        </w:rPr>
        <w:t>Таким образом, превышение фактических цен над НМЦ по каждой единице продукции не допускается.</w:t>
      </w:r>
    </w:p>
    <w:p w:rsidR="00D64A01" w:rsidRPr="00F1527E" w:rsidRDefault="00D64A01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81211"/>
    <w:rsid w:val="000A47E0"/>
    <w:rsid w:val="000C490D"/>
    <w:rsid w:val="000D5091"/>
    <w:rsid w:val="001F1867"/>
    <w:rsid w:val="002259F5"/>
    <w:rsid w:val="00241C12"/>
    <w:rsid w:val="002772B5"/>
    <w:rsid w:val="002C6705"/>
    <w:rsid w:val="003B062A"/>
    <w:rsid w:val="003B5F43"/>
    <w:rsid w:val="00400147"/>
    <w:rsid w:val="00432ABB"/>
    <w:rsid w:val="004513C7"/>
    <w:rsid w:val="00492F4F"/>
    <w:rsid w:val="004A2091"/>
    <w:rsid w:val="004E451C"/>
    <w:rsid w:val="004F5398"/>
    <w:rsid w:val="00500AC9"/>
    <w:rsid w:val="005E58B9"/>
    <w:rsid w:val="00750676"/>
    <w:rsid w:val="00862F9E"/>
    <w:rsid w:val="008D106C"/>
    <w:rsid w:val="008E15BD"/>
    <w:rsid w:val="00AC601A"/>
    <w:rsid w:val="00AE1A16"/>
    <w:rsid w:val="00BF212F"/>
    <w:rsid w:val="00D3363E"/>
    <w:rsid w:val="00D64A01"/>
    <w:rsid w:val="00E41CBA"/>
    <w:rsid w:val="00E71762"/>
    <w:rsid w:val="00F1527E"/>
    <w:rsid w:val="00F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44AF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character" w:styleId="a6">
    <w:name w:val="Hyperlink"/>
    <w:basedOn w:val="a0"/>
    <w:uiPriority w:val="99"/>
    <w:semiHidden/>
    <w:unhideWhenUsed/>
    <w:rsid w:val="00D64A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3</cp:revision>
  <cp:lastPrinted>2021-08-10T01:25:00Z</cp:lastPrinted>
  <dcterms:created xsi:type="dcterms:W3CDTF">2021-11-15T00:28:00Z</dcterms:created>
  <dcterms:modified xsi:type="dcterms:W3CDTF">2021-11-15T00:29:00Z</dcterms:modified>
</cp:coreProperties>
</file>