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A7C60" w:rsidRDefault="00A43F53" w:rsidP="00BA7C60">
      <w:pPr>
        <w:spacing w:line="276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BA7C60">
        <w:rPr>
          <w:b/>
          <w:bCs/>
          <w:iCs/>
          <w:snapToGrid/>
          <w:spacing w:val="40"/>
          <w:szCs w:val="28"/>
        </w:rPr>
        <w:t>ПРО</w:t>
      </w:r>
      <w:r w:rsidR="00B454B7" w:rsidRPr="00BA7C60">
        <w:rPr>
          <w:b/>
          <w:bCs/>
          <w:iCs/>
          <w:snapToGrid/>
          <w:spacing w:val="40"/>
          <w:szCs w:val="28"/>
        </w:rPr>
        <w:t>ТОКОЛ</w:t>
      </w:r>
      <w:r w:rsidR="001F6323" w:rsidRPr="00BA7C60">
        <w:rPr>
          <w:b/>
          <w:bCs/>
          <w:iCs/>
          <w:snapToGrid/>
          <w:spacing w:val="40"/>
          <w:szCs w:val="28"/>
        </w:rPr>
        <w:t xml:space="preserve"> № </w:t>
      </w:r>
      <w:r w:rsidR="00BA7C60" w:rsidRPr="00BA7C60">
        <w:rPr>
          <w:b/>
          <w:bCs/>
          <w:iCs/>
          <w:snapToGrid/>
          <w:spacing w:val="40"/>
          <w:szCs w:val="28"/>
        </w:rPr>
        <w:t>75</w:t>
      </w:r>
      <w:r w:rsidR="0082501E" w:rsidRPr="00BA7C60">
        <w:rPr>
          <w:b/>
          <w:bCs/>
          <w:iCs/>
          <w:snapToGrid/>
          <w:spacing w:val="40"/>
          <w:szCs w:val="28"/>
        </w:rPr>
        <w:t>/</w:t>
      </w:r>
      <w:r w:rsidR="00BA7C60" w:rsidRPr="00BA7C60">
        <w:rPr>
          <w:b/>
          <w:bCs/>
          <w:iCs/>
          <w:snapToGrid/>
          <w:spacing w:val="40"/>
          <w:szCs w:val="28"/>
        </w:rPr>
        <w:t>УКС</w:t>
      </w:r>
      <w:r w:rsidR="0082501E" w:rsidRPr="00BA7C60">
        <w:rPr>
          <w:b/>
          <w:bCs/>
          <w:iCs/>
          <w:snapToGrid/>
          <w:spacing w:val="40"/>
          <w:szCs w:val="28"/>
        </w:rPr>
        <w:t>-Р</w:t>
      </w:r>
    </w:p>
    <w:p w:rsidR="003B5EFA" w:rsidRPr="00BA7C60" w:rsidRDefault="00BA7D6E" w:rsidP="00BA7C60">
      <w:pPr>
        <w:pStyle w:val="a7"/>
        <w:spacing w:line="276" w:lineRule="auto"/>
        <w:jc w:val="center"/>
        <w:rPr>
          <w:b/>
          <w:szCs w:val="28"/>
        </w:rPr>
      </w:pPr>
      <w:r w:rsidRPr="00BA7C60">
        <w:rPr>
          <w:b/>
          <w:bCs/>
          <w:szCs w:val="28"/>
        </w:rPr>
        <w:t>заседания З</w:t>
      </w:r>
      <w:r w:rsidR="00CA7529" w:rsidRPr="00BA7C60">
        <w:rPr>
          <w:b/>
          <w:bCs/>
          <w:szCs w:val="28"/>
        </w:rPr>
        <w:t xml:space="preserve">акупочной комиссии по запросу предложений </w:t>
      </w:r>
      <w:r w:rsidR="005B1A7A" w:rsidRPr="00BA7C60">
        <w:rPr>
          <w:b/>
          <w:bCs/>
          <w:szCs w:val="28"/>
        </w:rPr>
        <w:t xml:space="preserve">в электронной форме </w:t>
      </w:r>
      <w:r w:rsidR="00CF7BD0" w:rsidRPr="00BA7C60">
        <w:rPr>
          <w:b/>
          <w:bCs/>
          <w:szCs w:val="28"/>
        </w:rPr>
        <w:t xml:space="preserve">на право заключения </w:t>
      </w:r>
      <w:r w:rsidR="00BA7C60" w:rsidRPr="00BA7C60">
        <w:rPr>
          <w:b/>
          <w:bCs/>
          <w:szCs w:val="28"/>
        </w:rPr>
        <w:t>договора «</w:t>
      </w:r>
      <w:r w:rsidR="00BA7C60" w:rsidRPr="00BA7C60">
        <w:rPr>
          <w:b/>
          <w:bCs/>
          <w:szCs w:val="28"/>
        </w:rPr>
        <w:t>Мероприятия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ХЭС» Лот № 14101-КС ПИР СМР-2022-ДРСК</w:t>
      </w:r>
      <w:r w:rsidR="00BA7C60" w:rsidRPr="00BA7C60">
        <w:rPr>
          <w:szCs w:val="28"/>
        </w:rPr>
        <w:t xml:space="preserve">  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BA7C6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BA7C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BA7C60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206C05" w:rsidRPr="00206C05">
        <w:rPr>
          <w:b w:val="0"/>
          <w:sz w:val="24"/>
          <w:szCs w:val="24"/>
        </w:rPr>
        <w:t>«</w:t>
      </w:r>
      <w:r w:rsidR="00BA7C60" w:rsidRPr="00BA7C60">
        <w:rPr>
          <w:b w:val="0"/>
          <w:sz w:val="24"/>
          <w:szCs w:val="24"/>
        </w:rPr>
        <w:t xml:space="preserve">Мероприятия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ХЭС» Лот № 14101-КС ПИР СМР-2022-ДРСК  </w:t>
      </w:r>
    </w:p>
    <w:p w:rsidR="00BA7C60" w:rsidRDefault="00BA7C60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A7C60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A7C6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p w:rsidR="00BA7C60" w:rsidRPr="003B5EFA" w:rsidRDefault="00BA7C6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6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2068"/>
        <w:gridCol w:w="4834"/>
        <w:gridCol w:w="2197"/>
      </w:tblGrid>
      <w:tr w:rsidR="007D6ADF" w:rsidRPr="007D6ADF" w:rsidTr="00BA7C60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BA7C60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BA7C60" w:rsidRPr="007D6ADF" w:rsidTr="00BA7C60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C60" w:rsidRPr="00C47CF6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25.10.2021 06:10:15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Заявка №37955</w:t>
            </w:r>
            <w:r>
              <w:br/>
              <w:t>ООО  "ГЕОТОЧКА" ИНН - 2724229159</w:t>
            </w:r>
            <w:r>
              <w:br/>
              <w:t>680031, КРАЙ ХАБАРОВСКИЙ, Г ХАБАРОВСК, УЛ СВИРСКАЯ, ДОМ 85, КОРПУС 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2 500 000.00</w:t>
            </w:r>
          </w:p>
        </w:tc>
      </w:tr>
      <w:tr w:rsidR="00BA7C60" w:rsidRPr="007D6ADF" w:rsidTr="00BA7C60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C60" w:rsidRPr="00C47CF6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10.11.2021 16:00:35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Заявка №39979</w:t>
            </w:r>
            <w:r>
              <w:br/>
              <w:t>ООО "ДАЛЬНЕВОСТОЧНАЯ ГЕОДЕЗИЧЕСКАЯ КОМПАНИЯ" ИНН - 2721146320</w:t>
            </w:r>
            <w:r>
              <w:br/>
              <w:t>680000, КРАЙ ХАБАРОВСКИЙ, Г ХАБАРОВСК, ПЕР КУСТАРНЫЙ, 8, 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2 500 000.00</w:t>
            </w:r>
          </w:p>
        </w:tc>
      </w:tr>
      <w:tr w:rsidR="00BA7C60" w:rsidRPr="007D6ADF" w:rsidTr="00BA7C60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C60" w:rsidRPr="00C47CF6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15.11.2021 06:41:32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Заявка №40737</w:t>
            </w:r>
            <w:r>
              <w:br/>
              <w:t>ООО  "ДТЭН" ИНН - 2721214965</w:t>
            </w:r>
            <w:r>
              <w:br/>
              <w:t>680000, КРАЙ ХАБАРОВСКИЙ, Г ХАБАРОВСК, УЛ КИМ Ю ЧЕНА, ДОМ 4, ОФИС 43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Default="00BA7C60" w:rsidP="00BA7C60">
            <w:pPr>
              <w:pStyle w:val="TableContents"/>
              <w:jc w:val="center"/>
            </w:pPr>
            <w:r>
              <w:t>2 500 000.00</w:t>
            </w:r>
          </w:p>
        </w:tc>
      </w:tr>
    </w:tbl>
    <w:p w:rsidR="00BA7C60" w:rsidRDefault="00BA7C60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A7C60">
        <w:rPr>
          <w:sz w:val="24"/>
          <w:szCs w:val="24"/>
        </w:rPr>
        <w:t xml:space="preserve">1 </w:t>
      </w:r>
      <w:r w:rsidR="00206C05">
        <w:rPr>
          <w:sz w:val="24"/>
          <w:szCs w:val="24"/>
        </w:rPr>
        <w:t>(</w:t>
      </w:r>
      <w:r w:rsidR="00BA7C60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BA7C60" w:rsidRDefault="00BA7C60" w:rsidP="00BA7C6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BA7C60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Об отклонении заявки участника ООО</w:t>
      </w:r>
      <w:r w:rsidRPr="00AC3B8D">
        <w:rPr>
          <w:rFonts w:eastAsia="Calibri"/>
          <w:snapToGrid/>
          <w:sz w:val="24"/>
          <w:szCs w:val="24"/>
          <w:lang w:eastAsia="en-US"/>
        </w:rPr>
        <w:t xml:space="preserve"> «</w:t>
      </w:r>
      <w:r w:rsidR="00BA7C60">
        <w:rPr>
          <w:rFonts w:eastAsia="Calibri"/>
          <w:snapToGrid/>
          <w:sz w:val="24"/>
          <w:szCs w:val="24"/>
          <w:lang w:eastAsia="en-US"/>
        </w:rPr>
        <w:t>ДТЭН</w:t>
      </w:r>
      <w:r w:rsidRPr="00AC3B8D">
        <w:rPr>
          <w:rFonts w:eastAsia="Calibri"/>
          <w:snapToGrid/>
          <w:sz w:val="24"/>
          <w:szCs w:val="24"/>
          <w:lang w:eastAsia="en-US"/>
        </w:rPr>
        <w:t>»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A7C60" w:rsidRP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A7C60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A7C60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BA7C60" w:rsidRPr="00BA7C60" w:rsidRDefault="00BA7C60" w:rsidP="00BA7C60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BA7C60">
        <w:rPr>
          <w:snapToGrid/>
          <w:sz w:val="24"/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BA7C60" w:rsidRPr="00BA7C60" w:rsidRDefault="00BA7C60" w:rsidP="00BA7C60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BA7C60">
        <w:rPr>
          <w:snapToGrid/>
          <w:sz w:val="24"/>
          <w:szCs w:val="24"/>
        </w:rPr>
        <w:t>Принять к рассмотрению заявки следующих участников:</w:t>
      </w:r>
    </w:p>
    <w:p w:rsidR="00BA7C60" w:rsidRPr="00BA7C60" w:rsidRDefault="00BA7C60" w:rsidP="00BA7C60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</w:p>
    <w:tbl>
      <w:tblPr>
        <w:tblW w:w="923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711"/>
        <w:gridCol w:w="4420"/>
        <w:gridCol w:w="2280"/>
      </w:tblGrid>
      <w:tr w:rsidR="00BA7C60" w:rsidRPr="00BA7C60" w:rsidTr="00BA7C60">
        <w:trPr>
          <w:cantSplit/>
          <w:trHeight w:val="97"/>
        </w:trPr>
        <w:tc>
          <w:tcPr>
            <w:tcW w:w="819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BA7C6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711" w:type="dxa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A7C6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420" w:type="dxa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A7C6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280" w:type="dxa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A7C6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BA7C60" w:rsidRPr="00BA7C60" w:rsidTr="00BA7C60">
        <w:trPr>
          <w:cantSplit/>
          <w:trHeight w:val="97"/>
        </w:trPr>
        <w:tc>
          <w:tcPr>
            <w:tcW w:w="819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A7C60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25.10.2021 06:10:15 MCK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№37955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"ГЕОТОЧКА" ИНН - 2724229159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2 500 000.00</w:t>
            </w:r>
          </w:p>
        </w:tc>
      </w:tr>
      <w:tr w:rsidR="00BA7C60" w:rsidRPr="00BA7C60" w:rsidTr="00BA7C60">
        <w:trPr>
          <w:cantSplit/>
          <w:trHeight w:val="97"/>
        </w:trPr>
        <w:tc>
          <w:tcPr>
            <w:tcW w:w="819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A7C60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10.11.2021 16:00:35 MCK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№39979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"ДАЛЬНЕВОСТОЧНАЯ ГЕОДЕЗИЧЕСКАЯ КОМПАНИЯ" ИНН - 2721146320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2 500 000.00</w:t>
            </w:r>
          </w:p>
        </w:tc>
      </w:tr>
      <w:tr w:rsidR="00BA7C60" w:rsidRPr="00BA7C60" w:rsidTr="00BA7C60">
        <w:trPr>
          <w:cantSplit/>
          <w:trHeight w:val="97"/>
        </w:trPr>
        <w:tc>
          <w:tcPr>
            <w:tcW w:w="819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A7C60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06:41:32 MCK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№40737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"ДТЭН" ИНН - 2721214965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680000, КРАЙ ХАБАРОВСКИЙ, Г ХАБАРОВСК, УЛ КИМ Ю ЧЕНА, ДОМ 4, ОФИС 43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2 500 000.00</w:t>
            </w:r>
          </w:p>
        </w:tc>
      </w:tr>
    </w:tbl>
    <w:p w:rsidR="00BA7C60" w:rsidRPr="00BA7C60" w:rsidRDefault="00BA7C60" w:rsidP="00BA7C6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A7C60" w:rsidRPr="00BA7C60" w:rsidRDefault="00BA7C60" w:rsidP="00BA7C60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A7C60">
        <w:rPr>
          <w:b/>
          <w:snapToGrid/>
          <w:sz w:val="24"/>
          <w:szCs w:val="24"/>
          <w:u w:val="single"/>
        </w:rPr>
        <w:t>ВОПРОС №2.</w:t>
      </w:r>
      <w:r w:rsidRPr="00BA7C60">
        <w:rPr>
          <w:b/>
          <w:snapToGrid/>
          <w:sz w:val="24"/>
          <w:szCs w:val="24"/>
        </w:rPr>
        <w:t xml:space="preserve"> «</w:t>
      </w:r>
      <w:r w:rsidRPr="00BA7C60">
        <w:rPr>
          <w:b/>
          <w:i/>
          <w:snapToGrid/>
          <w:sz w:val="24"/>
          <w:szCs w:val="24"/>
        </w:rPr>
        <w:t xml:space="preserve">Об отклонении заявки Участника ООО «ДТЭН» </w:t>
      </w:r>
    </w:p>
    <w:p w:rsidR="00BA7C60" w:rsidRPr="00BA7C60" w:rsidRDefault="00BA7C60" w:rsidP="00BA7C60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BA7C60">
        <w:rPr>
          <w:snapToGrid/>
          <w:sz w:val="24"/>
          <w:szCs w:val="24"/>
        </w:rPr>
        <w:t xml:space="preserve">Отклонить заявку Участника </w:t>
      </w:r>
      <w:r w:rsidRPr="00BA7C60">
        <w:rPr>
          <w:rFonts w:eastAsia="Calibri"/>
          <w:snapToGrid/>
          <w:sz w:val="24"/>
          <w:szCs w:val="24"/>
          <w:lang w:eastAsia="en-US"/>
        </w:rPr>
        <w:t>ООО «ДТЭН»</w:t>
      </w:r>
      <w:r w:rsidRPr="00BA7C60">
        <w:rPr>
          <w:b/>
          <w:i/>
          <w:snapToGrid/>
          <w:sz w:val="24"/>
          <w:szCs w:val="24"/>
        </w:rPr>
        <w:t xml:space="preserve"> </w:t>
      </w:r>
      <w:r w:rsidRPr="00BA7C60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9042"/>
      </w:tblGrid>
      <w:tr w:rsidR="00BA7C60" w:rsidRPr="00BA7C60" w:rsidTr="00BA7C60">
        <w:trPr>
          <w:trHeight w:val="209"/>
        </w:trPr>
        <w:tc>
          <w:tcPr>
            <w:tcW w:w="739" w:type="dxa"/>
            <w:vAlign w:val="center"/>
          </w:tcPr>
          <w:p w:rsidR="00BA7C60" w:rsidRPr="00BA7C60" w:rsidRDefault="00BA7C60" w:rsidP="00BA7C60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042" w:type="dxa"/>
            <w:shd w:val="clear" w:color="auto" w:fill="auto"/>
          </w:tcPr>
          <w:p w:rsidR="00BA7C60" w:rsidRPr="00BA7C60" w:rsidRDefault="00BA7C60" w:rsidP="00BA7C60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BA7C60" w:rsidRPr="00BA7C60" w:rsidTr="00BA7C60">
        <w:trPr>
          <w:trHeight w:val="1698"/>
        </w:trPr>
        <w:tc>
          <w:tcPr>
            <w:tcW w:w="739" w:type="dxa"/>
          </w:tcPr>
          <w:p w:rsidR="00BA7C60" w:rsidRPr="00BA7C60" w:rsidRDefault="00BA7C60" w:rsidP="00BA7C60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042" w:type="dxa"/>
            <w:shd w:val="clear" w:color="auto" w:fill="auto"/>
          </w:tcPr>
          <w:p w:rsidR="00BA7C60" w:rsidRPr="00BA7C60" w:rsidRDefault="00BA7C60" w:rsidP="00BA7C60">
            <w:pPr>
              <w:widowControl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A7C60">
              <w:rPr>
                <w:snapToGrid/>
                <w:sz w:val="24"/>
                <w:szCs w:val="24"/>
              </w:rPr>
              <w:t>В составе заявки участника Декларация о соответствии входящая в состав Письма о подаче оферты (подраздел 7.2) представлена не в полном объеме, а именно отсутствует абзац: «…Настоящей заявкой сообщаем, что _________________________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права.»,  что не соответствует условиям пункта 10.1 подпункта 10.1.1 «г»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</w:t>
            </w:r>
          </w:p>
          <w:p w:rsidR="00BA7C60" w:rsidRPr="00BA7C60" w:rsidRDefault="00BA7C60" w:rsidP="00BA7C60">
            <w:pPr>
              <w:widowControl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A7C60">
              <w:rPr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BA7C60" w:rsidRPr="00BA7C60" w:rsidRDefault="00BA7C60" w:rsidP="00BA7C60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BA7C60" w:rsidRP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A7C60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BA7C60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BA7C60" w:rsidRPr="00BA7C60" w:rsidRDefault="00BA7C60" w:rsidP="00BA7C60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BA7C60">
        <w:rPr>
          <w:snapToGrid/>
          <w:sz w:val="24"/>
          <w:szCs w:val="24"/>
        </w:rPr>
        <w:t xml:space="preserve">Признать заявки </w:t>
      </w:r>
    </w:p>
    <w:tbl>
      <w:tblPr>
        <w:tblW w:w="9527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9072"/>
      </w:tblGrid>
      <w:tr w:rsidR="00BA7C60" w:rsidRPr="00BA7C60" w:rsidTr="00BA7C60">
        <w:trPr>
          <w:trHeight w:val="231"/>
        </w:trPr>
        <w:tc>
          <w:tcPr>
            <w:tcW w:w="455" w:type="dxa"/>
          </w:tcPr>
          <w:p w:rsidR="00BA7C60" w:rsidRPr="00BA7C60" w:rsidRDefault="00BA7C60" w:rsidP="00BA7C60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BA7C60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BA7C60" w:rsidRPr="00BA7C60" w:rsidTr="00BA7C60">
        <w:trPr>
          <w:trHeight w:val="160"/>
        </w:trPr>
        <w:tc>
          <w:tcPr>
            <w:tcW w:w="455" w:type="dxa"/>
          </w:tcPr>
          <w:p w:rsidR="00BA7C60" w:rsidRPr="00BA7C60" w:rsidRDefault="00BA7C60" w:rsidP="00BA7C60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A7C60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№37955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"ГЕОТОЧКА" ИНН - 2724229159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</w:tr>
      <w:tr w:rsidR="00BA7C60" w:rsidRPr="00BA7C60" w:rsidTr="00BA7C60">
        <w:trPr>
          <w:trHeight w:val="160"/>
        </w:trPr>
        <w:tc>
          <w:tcPr>
            <w:tcW w:w="455" w:type="dxa"/>
          </w:tcPr>
          <w:p w:rsidR="00BA7C60" w:rsidRPr="00BA7C60" w:rsidRDefault="00BA7C60" w:rsidP="00BA7C60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BA7C60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№39979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"ДАЛЬНЕВОСТОЧНАЯ ГЕОДЕЗИЧЕСКАЯ КОМПАНИЯ" ИНН - 2721146320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680000, КРАЙ ХАБАРОВСКИЙ, Г ХАБАРОВСК, ПЕР КУСТАРНЫЙ, 8, 2</w:t>
            </w:r>
          </w:p>
        </w:tc>
      </w:tr>
    </w:tbl>
    <w:p w:rsidR="00BA7C60" w:rsidRPr="00BA7C60" w:rsidRDefault="00BA7C60" w:rsidP="00BA7C6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BA7C60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</w:t>
      </w:r>
    </w:p>
    <w:p w:rsidR="00BA7C60" w:rsidRPr="00BA7C60" w:rsidRDefault="00BA7C60" w:rsidP="00BA7C6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A7C60" w:rsidRP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A7C60">
        <w:rPr>
          <w:b/>
          <w:i/>
          <w:sz w:val="24"/>
        </w:rPr>
        <w:t>ВОПРОС №4. О предварительной ранжировке заявок</w:t>
      </w:r>
    </w:p>
    <w:p w:rsidR="00BA7C60" w:rsidRP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BA7C60" w:rsidRPr="00BA7C60" w:rsidRDefault="00BA7C60" w:rsidP="00BA7C60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A7C60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6"/>
        <w:gridCol w:w="805"/>
        <w:gridCol w:w="938"/>
        <w:gridCol w:w="2501"/>
        <w:gridCol w:w="2996"/>
      </w:tblGrid>
      <w:tr w:rsidR="00BA7C60" w:rsidRPr="00BA7C60" w:rsidTr="00BA7C60">
        <w:trPr>
          <w:trHeight w:val="394"/>
        </w:trPr>
        <w:tc>
          <w:tcPr>
            <w:tcW w:w="1196" w:type="pct"/>
            <w:vMerge w:val="restar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16" w:type="pct"/>
            <w:gridSpan w:val="2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888" w:type="pct"/>
            <w:gridSpan w:val="2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BA7C60">
              <w:rPr>
                <w:b/>
                <w:i/>
                <w:snapToGrid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BA7C60" w:rsidRPr="00BA7C60" w:rsidTr="00BA7C60">
        <w:trPr>
          <w:trHeight w:val="360"/>
        </w:trPr>
        <w:tc>
          <w:tcPr>
            <w:tcW w:w="1196" w:type="pct"/>
            <w:vMerge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0"/>
              </w:rPr>
            </w:pPr>
            <w:r w:rsidRPr="00BA7C60">
              <w:rPr>
                <w:rFonts w:eastAsia="Calibri"/>
                <w:snapToGrid/>
                <w:sz w:val="20"/>
                <w:lang w:eastAsia="en-US"/>
              </w:rPr>
              <w:t>ООО  "ГЕОТОЧКА"</w:t>
            </w:r>
          </w:p>
        </w:tc>
        <w:tc>
          <w:tcPr>
            <w:tcW w:w="157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BA7C60">
              <w:rPr>
                <w:rFonts w:eastAsia="Calibri"/>
                <w:snapToGrid/>
                <w:sz w:val="20"/>
                <w:lang w:eastAsia="en-US"/>
              </w:rPr>
              <w:t>ООО "ДАЛЬНЕВОСТОЧНАЯ ГЕОДЕЗИЧЕСКАЯ КОМПАНИЯ"</w:t>
            </w:r>
          </w:p>
        </w:tc>
      </w:tr>
      <w:tr w:rsidR="00BA7C60" w:rsidRPr="00BA7C60" w:rsidTr="00BA7C60">
        <w:trPr>
          <w:trHeight w:val="763"/>
        </w:trPr>
        <w:tc>
          <w:tcPr>
            <w:tcW w:w="1196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2"/>
                <w:szCs w:val="22"/>
              </w:rPr>
            </w:pPr>
            <w:r w:rsidRPr="00BA7C60">
              <w:rPr>
                <w:snapToGrid/>
                <w:sz w:val="22"/>
                <w:szCs w:val="22"/>
              </w:rPr>
              <w:t xml:space="preserve">Критерий оценки 1: </w:t>
            </w:r>
            <w:r w:rsidRPr="00BA7C60">
              <w:rPr>
                <w:b/>
                <w:i/>
                <w:snapToGrid/>
                <w:sz w:val="22"/>
                <w:szCs w:val="22"/>
              </w:rPr>
              <w:t>«Цена договора»</w:t>
            </w:r>
            <w:r w:rsidRPr="00BA7C60">
              <w:rPr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BA7C60">
              <w:rPr>
                <w:snapToGrid/>
                <w:color w:val="808080"/>
                <w:sz w:val="18"/>
                <w:szCs w:val="18"/>
              </w:rPr>
              <w:t>90%</w:t>
            </w:r>
          </w:p>
        </w:tc>
        <w:tc>
          <w:tcPr>
            <w:tcW w:w="49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>4,5000</w:t>
            </w:r>
          </w:p>
        </w:tc>
        <w:tc>
          <w:tcPr>
            <w:tcW w:w="157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>4,5000</w:t>
            </w:r>
          </w:p>
        </w:tc>
      </w:tr>
      <w:tr w:rsidR="00BA7C60" w:rsidRPr="00BA7C60" w:rsidTr="00BA7C60">
        <w:trPr>
          <w:trHeight w:val="487"/>
        </w:trPr>
        <w:tc>
          <w:tcPr>
            <w:tcW w:w="1196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A7C60">
              <w:rPr>
                <w:snapToGrid/>
                <w:sz w:val="22"/>
                <w:szCs w:val="22"/>
              </w:rPr>
              <w:t>Критерий оценки 2: «</w:t>
            </w:r>
            <w:r w:rsidRPr="00BA7C60">
              <w:rPr>
                <w:b/>
                <w:i/>
                <w:snapToGrid/>
                <w:sz w:val="22"/>
                <w:szCs w:val="22"/>
              </w:rPr>
              <w:t>Квалификация (предпочтительность) участника»</w:t>
            </w:r>
          </w:p>
        </w:tc>
        <w:tc>
          <w:tcPr>
            <w:tcW w:w="42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color w:val="808080"/>
                <w:sz w:val="18"/>
                <w:szCs w:val="18"/>
              </w:rPr>
              <w:t>10%</w:t>
            </w:r>
          </w:p>
        </w:tc>
        <w:tc>
          <w:tcPr>
            <w:tcW w:w="49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napToGrid/>
                <w:sz w:val="24"/>
                <w:szCs w:val="28"/>
              </w:rPr>
            </w:pPr>
          </w:p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4"/>
                <w:szCs w:val="28"/>
              </w:rPr>
            </w:pPr>
            <w:r w:rsidRPr="00BA7C60">
              <w:rPr>
                <w:b/>
                <w:i/>
                <w:snapToGrid/>
                <w:sz w:val="24"/>
                <w:szCs w:val="28"/>
              </w:rPr>
              <w:t>0,5000</w:t>
            </w:r>
          </w:p>
        </w:tc>
        <w:tc>
          <w:tcPr>
            <w:tcW w:w="157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>0,5000</w:t>
            </w:r>
          </w:p>
        </w:tc>
      </w:tr>
      <w:tr w:rsidR="00BA7C60" w:rsidRPr="00BA7C60" w:rsidTr="00BA7C60">
        <w:trPr>
          <w:trHeight w:val="487"/>
        </w:trPr>
        <w:tc>
          <w:tcPr>
            <w:tcW w:w="1196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BA7C60">
              <w:rPr>
                <w:snapToGrid/>
                <w:sz w:val="22"/>
                <w:szCs w:val="22"/>
              </w:rPr>
              <w:t xml:space="preserve">Подкритерий 2.1: </w:t>
            </w:r>
            <w:r w:rsidRPr="00BA7C60">
              <w:rPr>
                <w:b/>
                <w:i/>
                <w:snapToGrid/>
                <w:sz w:val="22"/>
                <w:szCs w:val="22"/>
              </w:rPr>
              <w:t>«Деловая репутация (участие в судебных разбирательствах)»</w:t>
            </w:r>
          </w:p>
        </w:tc>
        <w:tc>
          <w:tcPr>
            <w:tcW w:w="42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493" w:type="pct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color w:val="808080"/>
                <w:sz w:val="18"/>
                <w:szCs w:val="18"/>
              </w:rPr>
              <w:t>100%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A7C60">
              <w:rPr>
                <w:snapToGrid/>
                <w:sz w:val="24"/>
                <w:szCs w:val="24"/>
              </w:rPr>
              <w:t>5,0000</w:t>
            </w:r>
          </w:p>
        </w:tc>
        <w:tc>
          <w:tcPr>
            <w:tcW w:w="157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A7C60">
              <w:rPr>
                <w:snapToGrid/>
                <w:sz w:val="24"/>
                <w:szCs w:val="24"/>
              </w:rPr>
              <w:t>5,0000</w:t>
            </w:r>
          </w:p>
        </w:tc>
      </w:tr>
      <w:tr w:rsidR="00BA7C60" w:rsidRPr="00BA7C60" w:rsidTr="00BA7C60">
        <w:trPr>
          <w:trHeight w:val="981"/>
        </w:trPr>
        <w:tc>
          <w:tcPr>
            <w:tcW w:w="2112" w:type="pct"/>
            <w:gridSpan w:val="3"/>
            <w:shd w:val="clear" w:color="auto" w:fill="FFFFFF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18"/>
                <w:szCs w:val="18"/>
              </w:rPr>
            </w:pPr>
            <w:r w:rsidRPr="00BA7C60">
              <w:rPr>
                <w:snapToGrid/>
                <w:sz w:val="18"/>
                <w:szCs w:val="18"/>
              </w:rPr>
              <w:t xml:space="preserve">Итоговый балл заявки </w:t>
            </w:r>
            <w:r w:rsidRPr="00BA7C60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1574" w:type="pct"/>
            <w:shd w:val="clear" w:color="auto" w:fill="FFFFFF"/>
            <w:vAlign w:val="center"/>
          </w:tcPr>
          <w:p w:rsidR="00BA7C60" w:rsidRPr="00BA7C60" w:rsidRDefault="00BA7C60" w:rsidP="00BA7C60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</w:tr>
    </w:tbl>
    <w:p w:rsidR="00BA7C60" w:rsidRPr="00BA7C60" w:rsidRDefault="00BA7C60" w:rsidP="00BA7C60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A7C60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659"/>
        <w:gridCol w:w="3471"/>
        <w:gridCol w:w="1811"/>
        <w:gridCol w:w="896"/>
      </w:tblGrid>
      <w:tr w:rsidR="00BA7C60" w:rsidRPr="00BA7C60" w:rsidTr="00BA7C60">
        <w:trPr>
          <w:trHeight w:val="1356"/>
        </w:trPr>
        <w:tc>
          <w:tcPr>
            <w:tcW w:w="1661" w:type="dxa"/>
            <w:shd w:val="clear" w:color="auto" w:fill="auto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A7C60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659" w:type="dxa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A7C6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71" w:type="dxa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A7C6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11" w:type="dxa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A7C60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BA7C60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BA7C60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96" w:type="dxa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A7C60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BA7C60" w:rsidRPr="00BA7C60" w:rsidTr="00BA7C60">
        <w:trPr>
          <w:trHeight w:val="1933"/>
        </w:trPr>
        <w:tc>
          <w:tcPr>
            <w:tcW w:w="1661" w:type="dxa"/>
            <w:shd w:val="clear" w:color="auto" w:fill="auto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7C60">
              <w:rPr>
                <w:sz w:val="22"/>
                <w:szCs w:val="22"/>
              </w:rPr>
              <w:t>1 место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25.10.2021 06:10:15 MCK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№37955</w:t>
            </w: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"ГЕОТОЧКА" ИНН - 2724229159</w:t>
            </w: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2 500 000.00</w:t>
            </w:r>
          </w:p>
        </w:tc>
        <w:tc>
          <w:tcPr>
            <w:tcW w:w="896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BA7C60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BA7C60" w:rsidRPr="00BA7C60" w:rsidTr="00BA7C60">
        <w:trPr>
          <w:trHeight w:val="1912"/>
        </w:trPr>
        <w:tc>
          <w:tcPr>
            <w:tcW w:w="1661" w:type="dxa"/>
            <w:shd w:val="clear" w:color="auto" w:fill="auto"/>
            <w:vAlign w:val="center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7C60">
              <w:rPr>
                <w:sz w:val="22"/>
                <w:szCs w:val="22"/>
              </w:rPr>
              <w:t>2 место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10.11.2021 16:00:35 MCK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№39979</w:t>
            </w: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"ДАЛЬНЕВОСТОЧНАЯ ГЕОДЕЗИЧЕСКАЯ КОМПАНИЯ" ИНН - 2721146320</w:t>
            </w: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2 500 000.00</w:t>
            </w:r>
          </w:p>
        </w:tc>
        <w:tc>
          <w:tcPr>
            <w:tcW w:w="896" w:type="dxa"/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BA7C60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</w:tbl>
    <w:p w:rsidR="00BA7C60" w:rsidRPr="00BA7C60" w:rsidRDefault="00BA7C60" w:rsidP="00BA7C60">
      <w:pPr>
        <w:spacing w:line="240" w:lineRule="auto"/>
        <w:ind w:firstLine="0"/>
        <w:rPr>
          <w:sz w:val="24"/>
          <w:szCs w:val="24"/>
        </w:rPr>
      </w:pPr>
    </w:p>
    <w:p w:rsid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A7C60" w:rsidRPr="00BA7C60" w:rsidRDefault="00BA7C60" w:rsidP="00BA7C6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bookmarkStart w:id="2" w:name="_GoBack"/>
      <w:bookmarkEnd w:id="2"/>
      <w:r w:rsidRPr="00BA7C60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5</w:t>
      </w:r>
      <w:r w:rsidRPr="00BA7C60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>Провести переторжку;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BA7C60">
        <w:rPr>
          <w:rFonts w:eastAsia="MS Mincho"/>
          <w:b/>
          <w:i/>
          <w:snapToGrid/>
          <w:sz w:val="24"/>
          <w:szCs w:val="24"/>
        </w:rPr>
        <w:t>цена заявки</w:t>
      </w:r>
      <w:r w:rsidRPr="00BA7C60">
        <w:rPr>
          <w:rFonts w:eastAsia="MS Mincho"/>
          <w:snapToGrid/>
          <w:sz w:val="24"/>
          <w:szCs w:val="24"/>
        </w:rPr>
        <w:t xml:space="preserve">. 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BA7C60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095"/>
        <w:gridCol w:w="1843"/>
        <w:gridCol w:w="1275"/>
      </w:tblGrid>
      <w:tr w:rsidR="00BA7C60" w:rsidRPr="00BA7C60" w:rsidTr="00BA7C60">
        <w:trPr>
          <w:trHeight w:val="431"/>
          <w:tblHeader/>
        </w:trPr>
        <w:tc>
          <w:tcPr>
            <w:tcW w:w="426" w:type="dxa"/>
            <w:vAlign w:val="center"/>
          </w:tcPr>
          <w:p w:rsidR="00BA7C60" w:rsidRPr="00BA7C60" w:rsidRDefault="00BA7C60" w:rsidP="00BA7C60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BA7C60" w:rsidRPr="00BA7C60" w:rsidRDefault="00BA7C60" w:rsidP="00BA7C60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BA7C60" w:rsidRPr="00BA7C60" w:rsidRDefault="00BA7C60" w:rsidP="00BA7C60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C60" w:rsidRPr="00BA7C60" w:rsidRDefault="00BA7C60" w:rsidP="00BA7C60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275" w:type="dxa"/>
          </w:tcPr>
          <w:p w:rsidR="00BA7C60" w:rsidRPr="00BA7C60" w:rsidRDefault="00BA7C60" w:rsidP="00BA7C6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A7C60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BA7C60" w:rsidRPr="00BA7C60" w:rsidTr="00BA7C60">
        <w:trPr>
          <w:trHeight w:val="388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BA7C60" w:rsidRPr="00BA7C60" w:rsidRDefault="00BA7C60" w:rsidP="00BA7C60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№37955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"ГЕОТОЧКА" ИНН - 2724229159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680031, КРАЙ ХАБАРОВСКИЙ, Г ХАБАРОВСК, УЛ СВИРСКАЯ, ДОМ 85, КОРПУС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2 500 000.00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BA7C60" w:rsidRPr="00BA7C60" w:rsidTr="00BA7C60">
        <w:trPr>
          <w:trHeight w:val="388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BA7C60" w:rsidRPr="00BA7C60" w:rsidRDefault="00BA7C60" w:rsidP="00BA7C60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№39979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"ДАЛЬНЕВОСТОЧНАЯ ГЕОДЕЗИЧЕСКАЯ КОМПАНИЯ" ИНН - 2721146320</w:t>
            </w: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680000, КРАЙ ХАБАРОВСКИЙ, Г ХАБАРОВСК, ПЕР КУСТАРНЫЙ, 8,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60" w:rsidRPr="00BA7C60" w:rsidRDefault="00BA7C60" w:rsidP="00BA7C6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A7C6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2 500 000.00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A7C60" w:rsidRPr="00BA7C60" w:rsidRDefault="00BA7C60" w:rsidP="00BA7C6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A7C60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BA7C60">
        <w:rPr>
          <w:rFonts w:eastAsia="MS Mincho"/>
          <w:b/>
          <w:i/>
          <w:snapToGrid/>
          <w:sz w:val="24"/>
          <w:szCs w:val="24"/>
        </w:rPr>
        <w:t>очная;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договора без учета НДС;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>Назначить переторжку на 13.12.2021 г. в 09:00 час. (московского времени);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rFonts w:eastAsia="MS Mincho"/>
          <w:snapToGrid/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электронная торговая площадка по адресу: </w:t>
      </w:r>
      <w:hyperlink r:id="rId9" w:history="1">
        <w:r w:rsidRPr="00BA7C60">
          <w:rPr>
            <w:rFonts w:eastAsia="MS Mincho"/>
            <w:color w:val="0000FF"/>
            <w:sz w:val="26"/>
            <w:szCs w:val="26"/>
            <w:u w:val="single"/>
          </w:rPr>
          <w:t>https://tender.lot-online.ru</w:t>
        </w:r>
      </w:hyperlink>
      <w:r w:rsidRPr="00BA7C60">
        <w:rPr>
          <w:rFonts w:eastAsia="Calibri"/>
          <w:sz w:val="24"/>
          <w:szCs w:val="24"/>
          <w:lang w:eastAsia="en-US"/>
        </w:rPr>
        <w:t>.</w:t>
      </w:r>
    </w:p>
    <w:p w:rsidR="00BA7C60" w:rsidRPr="00BA7C60" w:rsidRDefault="00BA7C60" w:rsidP="00BA7C60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A7C60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BA7C60">
        <w:rPr>
          <w:rFonts w:eastAsia="MS Mincho"/>
          <w:snapToGrid/>
          <w:sz w:val="24"/>
          <w:szCs w:val="24"/>
        </w:rPr>
        <w:t>.</w:t>
      </w:r>
    </w:p>
    <w:p w:rsidR="00BA7C60" w:rsidRPr="00BA7C60" w:rsidRDefault="00BA7C60" w:rsidP="00BA7C60">
      <w:pPr>
        <w:tabs>
          <w:tab w:val="left" w:pos="284"/>
        </w:tabs>
        <w:spacing w:line="240" w:lineRule="auto"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9702B1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B1" w:rsidRDefault="009702B1" w:rsidP="00355095">
      <w:pPr>
        <w:spacing w:line="240" w:lineRule="auto"/>
      </w:pPr>
      <w:r>
        <w:separator/>
      </w:r>
    </w:p>
  </w:endnote>
  <w:endnote w:type="continuationSeparator" w:id="0">
    <w:p w:rsidR="009702B1" w:rsidRDefault="009702B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A7C6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A7C6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B1" w:rsidRDefault="009702B1" w:rsidP="00355095">
      <w:pPr>
        <w:spacing w:line="240" w:lineRule="auto"/>
      </w:pPr>
      <w:r>
        <w:separator/>
      </w:r>
    </w:p>
  </w:footnote>
  <w:footnote w:type="continuationSeparator" w:id="0">
    <w:p w:rsidR="009702B1" w:rsidRDefault="009702B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BA7C60">
      <w:rPr>
        <w:i/>
        <w:sz w:val="20"/>
      </w:rPr>
      <w:t>14101</w:t>
    </w:r>
  </w:p>
  <w:p w:rsidR="00BA7C60" w:rsidRPr="00355095" w:rsidRDefault="00BA7C60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8"/>
  </w:num>
  <w:num w:numId="11">
    <w:abstractNumId w:val="10"/>
  </w:num>
  <w:num w:numId="12">
    <w:abstractNumId w:val="5"/>
  </w:num>
  <w:num w:numId="13">
    <w:abstractNumId w:val="16"/>
  </w:num>
  <w:num w:numId="14">
    <w:abstractNumId w:val="1"/>
  </w:num>
  <w:num w:numId="15">
    <w:abstractNumId w:val="4"/>
  </w:num>
  <w:num w:numId="16">
    <w:abstractNumId w:val="9"/>
  </w:num>
  <w:num w:numId="17">
    <w:abstractNumId w:val="6"/>
  </w:num>
  <w:num w:numId="18">
    <w:abstractNumId w:val="13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702B1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C60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30B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BA7C60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0C87-A429-48A2-8A1F-E2EA46D5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49</cp:revision>
  <cp:lastPrinted>2019-01-15T06:33:00Z</cp:lastPrinted>
  <dcterms:created xsi:type="dcterms:W3CDTF">2018-02-01T00:38:00Z</dcterms:created>
  <dcterms:modified xsi:type="dcterms:W3CDTF">2021-12-08T04:03:00Z</dcterms:modified>
</cp:coreProperties>
</file>