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562661" w:rsidTr="00861C25">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558"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558" w:type="dxa"/>
            <w:shd w:val="clear" w:color="auto" w:fill="auto"/>
          </w:tcPr>
          <w:p w:rsidR="00C13822" w:rsidRPr="00562661" w:rsidRDefault="0052256A" w:rsidP="00F141D3">
            <w:pPr>
              <w:spacing w:before="120" w:line="360" w:lineRule="exact"/>
              <w:contextualSpacing/>
              <w:rPr>
                <w:rFonts w:ascii="Times New Roman" w:eastAsia="Calibri" w:hAnsi="Times New Roman"/>
                <w:noProof w:val="0"/>
                <w:sz w:val="22"/>
                <w:szCs w:val="22"/>
              </w:rPr>
            </w:pPr>
            <w:r w:rsidRPr="0052256A">
              <w:rPr>
                <w:rFonts w:ascii="Times New Roman" w:eastAsia="Calibri" w:hAnsi="Times New Roman"/>
                <w:noProof w:val="0"/>
                <w:sz w:val="22"/>
                <w:szCs w:val="22"/>
              </w:rPr>
              <w:t>Комплектные трансформаторные подстанции (МиРЭК)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558" w:type="dxa"/>
            <w:shd w:val="clear" w:color="auto" w:fill="auto"/>
          </w:tcPr>
          <w:p w:rsidR="00C13822" w:rsidRPr="00562661" w:rsidRDefault="00934499" w:rsidP="00F141D3">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31120</w:t>
            </w:r>
            <w:r w:rsidRPr="00934499">
              <w:rPr>
                <w:rFonts w:ascii="Times New Roman" w:eastAsia="Calibri" w:hAnsi="Times New Roman"/>
                <w:noProof w:val="0"/>
                <w:sz w:val="22"/>
                <w:szCs w:val="22"/>
              </w:rPr>
              <w:t>1</w:t>
            </w:r>
            <w:r w:rsidR="0052256A" w:rsidRPr="0052256A">
              <w:rPr>
                <w:rFonts w:ascii="Times New Roman" w:eastAsia="Calibri" w:hAnsi="Times New Roman"/>
                <w:noProof w:val="0"/>
                <w:sz w:val="22"/>
                <w:szCs w:val="22"/>
              </w:rPr>
              <w:t>-ТПИР ОТМ-2022-ДРСК</w:t>
            </w:r>
          </w:p>
        </w:tc>
      </w:tr>
      <w:tr w:rsidR="00C13822" w:rsidRPr="00562661" w:rsidTr="00F141D3">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558" w:type="dxa"/>
            <w:shd w:val="clear" w:color="auto" w:fill="auto"/>
          </w:tcPr>
          <w:p w:rsidR="00C13822" w:rsidRPr="00562661" w:rsidRDefault="00C72C4D" w:rsidP="00F141D3">
            <w:pPr>
              <w:spacing w:before="120" w:line="360" w:lineRule="exact"/>
              <w:contextualSpacing/>
              <w:rPr>
                <w:rFonts w:ascii="Times New Roman" w:eastAsia="Calibri" w:hAnsi="Times New Roman"/>
                <w:noProof w:val="0"/>
                <w:sz w:val="22"/>
                <w:szCs w:val="22"/>
              </w:rPr>
            </w:pPr>
            <w:r w:rsidRPr="00C72C4D">
              <w:rPr>
                <w:rFonts w:ascii="Times New Roman" w:eastAsia="Calibri" w:hAnsi="Times New Roman"/>
                <w:noProof w:val="0"/>
                <w:sz w:val="22"/>
                <w:szCs w:val="22"/>
              </w:rPr>
              <w:t xml:space="preserve">9 997 500,00  </w:t>
            </w:r>
            <w:r w:rsidR="00C84053" w:rsidRPr="00562661">
              <w:rPr>
                <w:rFonts w:ascii="Times New Roman" w:eastAsia="Calibri" w:hAnsi="Times New Roman"/>
                <w:noProof w:val="0"/>
                <w:sz w:val="22"/>
                <w:szCs w:val="22"/>
              </w:rPr>
              <w:t>руб. без НДС</w:t>
            </w:r>
          </w:p>
        </w:tc>
      </w:tr>
    </w:tbl>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663593" w:rsidRPr="00BF127B" w:rsidRDefault="00BF127B" w:rsidP="00BF127B">
      <w:pPr>
        <w:spacing w:after="120"/>
        <w:jc w:val="both"/>
        <w:rPr>
          <w:rFonts w:ascii="Times New Roman" w:eastAsia="Calibri" w:hAnsi="Times New Roman"/>
          <w:noProof w:val="0"/>
          <w:sz w:val="26"/>
          <w:szCs w:val="26"/>
        </w:rPr>
      </w:pPr>
      <w:r w:rsidRPr="00BF127B">
        <w:rPr>
          <w:rFonts w:ascii="Times New Roman" w:eastAsia="Calibri" w:hAnsi="Times New Roman"/>
          <w:noProof w:val="0"/>
          <w:sz w:val="26"/>
          <w:szCs w:val="26"/>
        </w:rPr>
        <w:t>Метод анализа технико-коммерческих предложений</w:t>
      </w:r>
    </w:p>
    <w:p w:rsidR="00663593" w:rsidRDefault="00663593" w:rsidP="00663593">
      <w:pPr>
        <w:pStyle w:val="a9"/>
        <w:keepNext/>
        <w:spacing w:after="120"/>
        <w:jc w:val="both"/>
        <w:rPr>
          <w:rFonts w:ascii="Times New Roman" w:eastAsia="Calibri" w:hAnsi="Times New Roman"/>
          <w:noProof w:val="0"/>
          <w:sz w:val="26"/>
          <w:szCs w:val="26"/>
        </w:rPr>
      </w:pPr>
      <w:r w:rsidRPr="00663593">
        <w:rPr>
          <w:rFonts w:ascii="Times New Roman" w:eastAsia="Calibri" w:hAnsi="Times New Roman"/>
          <w:noProof w:val="0"/>
          <w:sz w:val="26"/>
          <w:szCs w:val="26"/>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AC1A2E" w:rsidRPr="00DD53B7" w:rsidTr="00DD53B7">
        <w:trPr>
          <w:trHeight w:val="70"/>
        </w:trPr>
        <w:tc>
          <w:tcPr>
            <w:tcW w:w="2261" w:type="dxa"/>
            <w:shd w:val="clear" w:color="000000" w:fill="E7E6E6"/>
            <w:vAlign w:val="center"/>
          </w:tcPr>
          <w:p w:rsidR="00AC1A2E" w:rsidRPr="00DD53B7" w:rsidRDefault="00AC1A2E" w:rsidP="00DD53B7">
            <w:pPr>
              <w:keepNext/>
              <w:jc w:val="center"/>
              <w:rPr>
                <w:rFonts w:ascii="Times New Roman" w:eastAsia="Times New Roman" w:hAnsi="Times New Roman"/>
                <w:b/>
                <w:bCs/>
                <w:noProof w:val="0"/>
                <w:color w:val="000000"/>
                <w:sz w:val="20"/>
                <w:lang w:eastAsia="ru-RU"/>
              </w:rPr>
            </w:pPr>
            <w:r w:rsidRPr="00DD53B7">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3526" w:type="dxa"/>
            <w:shd w:val="clear" w:color="000000" w:fill="E7E6E6"/>
            <w:vAlign w:val="center"/>
            <w:hideMark/>
          </w:tcPr>
          <w:p w:rsidR="00AC1A2E" w:rsidRPr="00DD53B7" w:rsidRDefault="00AC1A2E" w:rsidP="00DD53B7">
            <w:pPr>
              <w:keepNext/>
              <w:jc w:val="center"/>
              <w:rPr>
                <w:rFonts w:ascii="Times New Roman" w:eastAsia="Times New Roman" w:hAnsi="Times New Roman"/>
                <w:b/>
                <w:bCs/>
                <w:noProof w:val="0"/>
                <w:color w:val="000000"/>
                <w:sz w:val="20"/>
                <w:lang w:eastAsia="ru-RU"/>
              </w:rPr>
            </w:pPr>
            <w:r w:rsidRPr="00DD53B7">
              <w:rPr>
                <w:rFonts w:ascii="Times New Roman" w:eastAsia="Times New Roman" w:hAnsi="Times New Roman"/>
                <w:b/>
                <w:bCs/>
                <w:noProof w:val="0"/>
                <w:color w:val="000000"/>
                <w:sz w:val="20"/>
                <w:lang w:eastAsia="ru-RU"/>
              </w:rPr>
              <w:t>Наименование источника ценовой информации (ИЦИ)</w:t>
            </w:r>
          </w:p>
        </w:tc>
        <w:tc>
          <w:tcPr>
            <w:tcW w:w="2686" w:type="dxa"/>
            <w:shd w:val="clear" w:color="000000" w:fill="E7E6E6"/>
            <w:vAlign w:val="center"/>
          </w:tcPr>
          <w:p w:rsidR="00AC1A2E" w:rsidRPr="00DD53B7" w:rsidRDefault="00AC1A2E" w:rsidP="00DD53B7">
            <w:pPr>
              <w:keepNext/>
              <w:jc w:val="center"/>
              <w:rPr>
                <w:rFonts w:ascii="Times New Roman" w:eastAsia="Times New Roman" w:hAnsi="Times New Roman"/>
                <w:b/>
                <w:bCs/>
                <w:noProof w:val="0"/>
                <w:color w:val="000000"/>
                <w:sz w:val="20"/>
                <w:lang w:eastAsia="ru-RU"/>
              </w:rPr>
            </w:pPr>
            <w:r w:rsidRPr="00DD53B7">
              <w:rPr>
                <w:rFonts w:ascii="Times New Roman" w:eastAsia="Times New Roman" w:hAnsi="Times New Roman"/>
                <w:b/>
                <w:bCs/>
                <w:noProof w:val="0"/>
                <w:color w:val="000000"/>
                <w:sz w:val="20"/>
                <w:lang w:eastAsia="ru-RU"/>
              </w:rPr>
              <w:t>Цена</w:t>
            </w:r>
            <w:r w:rsidRPr="00DD53B7">
              <w:rPr>
                <w:rFonts w:ascii="Times New Roman" w:eastAsia="Times New Roman" w:hAnsi="Times New Roman"/>
                <w:b/>
                <w:bCs/>
                <w:noProof w:val="0"/>
                <w:color w:val="000000"/>
                <w:sz w:val="20"/>
                <w:vertAlign w:val="superscript"/>
                <w:lang w:eastAsia="ru-RU"/>
              </w:rPr>
              <w:footnoteReference w:id="1"/>
            </w:r>
            <w:r w:rsidRPr="00DD53B7">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2867" w:type="dxa"/>
            <w:shd w:val="clear" w:color="000000" w:fill="E7E6E6"/>
            <w:vAlign w:val="center"/>
            <w:hideMark/>
          </w:tcPr>
          <w:p w:rsidR="00AC1A2E" w:rsidRPr="00DD53B7" w:rsidRDefault="00AC1A2E" w:rsidP="00DD53B7">
            <w:pPr>
              <w:keepNext/>
              <w:jc w:val="center"/>
              <w:rPr>
                <w:rFonts w:ascii="Times New Roman" w:eastAsia="Times New Roman" w:hAnsi="Times New Roman"/>
                <w:b/>
                <w:bCs/>
                <w:noProof w:val="0"/>
                <w:color w:val="000000"/>
                <w:sz w:val="20"/>
                <w:lang w:eastAsia="ru-RU"/>
              </w:rPr>
            </w:pPr>
            <w:r w:rsidRPr="00DD53B7">
              <w:rPr>
                <w:rFonts w:ascii="Times New Roman" w:eastAsia="Times New Roman" w:hAnsi="Times New Roman"/>
                <w:b/>
                <w:bCs/>
                <w:noProof w:val="0"/>
                <w:color w:val="000000"/>
                <w:sz w:val="20"/>
                <w:lang w:eastAsia="ru-RU"/>
              </w:rPr>
              <w:t>Цена итоговая, в руб. без НДС</w:t>
            </w:r>
          </w:p>
        </w:tc>
        <w:tc>
          <w:tcPr>
            <w:tcW w:w="3261" w:type="dxa"/>
            <w:shd w:val="clear" w:color="000000" w:fill="E7E6E6"/>
            <w:vAlign w:val="center"/>
            <w:hideMark/>
          </w:tcPr>
          <w:p w:rsidR="00AC1A2E" w:rsidRPr="00DD53B7" w:rsidRDefault="00AC1A2E" w:rsidP="00DD53B7">
            <w:pPr>
              <w:keepNext/>
              <w:jc w:val="center"/>
              <w:rPr>
                <w:rFonts w:ascii="Times New Roman" w:eastAsia="Times New Roman" w:hAnsi="Times New Roman"/>
                <w:b/>
                <w:bCs/>
                <w:noProof w:val="0"/>
                <w:color w:val="000000"/>
                <w:sz w:val="20"/>
                <w:lang w:eastAsia="ru-RU"/>
              </w:rPr>
            </w:pPr>
            <w:r w:rsidRPr="00DD53B7">
              <w:rPr>
                <w:rFonts w:ascii="Times New Roman" w:eastAsia="Times New Roman" w:hAnsi="Times New Roman"/>
                <w:b/>
                <w:bCs/>
                <w:noProof w:val="0"/>
                <w:color w:val="000000"/>
                <w:sz w:val="20"/>
                <w:lang w:eastAsia="ru-RU"/>
              </w:rPr>
              <w:t>Комментарии</w:t>
            </w:r>
          </w:p>
        </w:tc>
      </w:tr>
      <w:tr w:rsidR="00AC1A2E" w:rsidRPr="00DD53B7" w:rsidTr="00DD53B7">
        <w:trPr>
          <w:trHeight w:val="70"/>
        </w:trPr>
        <w:tc>
          <w:tcPr>
            <w:tcW w:w="2261" w:type="dxa"/>
            <w:vMerge w:val="restart"/>
            <w:vAlign w:val="center"/>
          </w:tcPr>
          <w:p w:rsidR="00AC1A2E" w:rsidRPr="00DD53B7" w:rsidRDefault="0052256A" w:rsidP="00DD53B7">
            <w:pPr>
              <w:spacing w:before="60" w:after="60"/>
              <w:jc w:val="center"/>
              <w:rPr>
                <w:rFonts w:ascii="Times New Roman" w:eastAsia="Times New Roman" w:hAnsi="Times New Roman"/>
                <w:noProof w:val="0"/>
                <w:snapToGrid w:val="0"/>
                <w:sz w:val="20"/>
                <w:shd w:val="clear" w:color="auto" w:fill="FFFF99"/>
                <w:lang w:eastAsia="ru-RU"/>
              </w:rPr>
            </w:pPr>
            <w:r w:rsidRPr="0052256A">
              <w:rPr>
                <w:rFonts w:ascii="Times New Roman" w:eastAsia="Calibri" w:hAnsi="Times New Roman"/>
                <w:noProof w:val="0"/>
                <w:sz w:val="22"/>
                <w:szCs w:val="22"/>
              </w:rPr>
              <w:t>Комплектные трансформаторные подстанции (МиРЭК)</w:t>
            </w:r>
          </w:p>
        </w:tc>
        <w:tc>
          <w:tcPr>
            <w:tcW w:w="3526" w:type="dxa"/>
            <w:shd w:val="clear" w:color="auto" w:fill="auto"/>
            <w:vAlign w:val="center"/>
          </w:tcPr>
          <w:p w:rsidR="00AC1A2E" w:rsidRPr="00DD53B7" w:rsidRDefault="00BF127B" w:rsidP="00DD53B7">
            <w:pPr>
              <w:spacing w:before="60" w:after="60"/>
              <w:jc w:val="center"/>
              <w:rPr>
                <w:rFonts w:ascii="Times New Roman" w:eastAsia="Times New Roman" w:hAnsi="Times New Roman"/>
                <w:noProof w:val="0"/>
                <w:snapToGrid w:val="0"/>
                <w:sz w:val="22"/>
                <w:szCs w:val="22"/>
                <w:shd w:val="clear" w:color="auto" w:fill="FFFF99"/>
                <w:lang w:eastAsia="ru-RU"/>
              </w:rPr>
            </w:pPr>
            <w:r w:rsidRPr="00DD53B7">
              <w:rPr>
                <w:rFonts w:ascii="Times New Roman" w:eastAsia="Times New Roman" w:hAnsi="Times New Roman"/>
                <w:noProof w:val="0"/>
                <w:snapToGrid w:val="0"/>
                <w:sz w:val="22"/>
                <w:szCs w:val="22"/>
                <w:lang w:eastAsia="ru-RU"/>
              </w:rPr>
              <w:t>ТКП</w:t>
            </w:r>
            <w:r w:rsidR="00AC1A2E" w:rsidRPr="00DD53B7">
              <w:rPr>
                <w:rFonts w:ascii="Times New Roman" w:eastAsia="Times New Roman" w:hAnsi="Times New Roman"/>
                <w:noProof w:val="0"/>
                <w:snapToGrid w:val="0"/>
                <w:sz w:val="22"/>
                <w:szCs w:val="22"/>
                <w:lang w:eastAsia="ru-RU"/>
              </w:rPr>
              <w:t xml:space="preserve"> №1</w:t>
            </w:r>
          </w:p>
        </w:tc>
        <w:tc>
          <w:tcPr>
            <w:tcW w:w="2686" w:type="dxa"/>
            <w:shd w:val="clear" w:color="auto" w:fill="auto"/>
            <w:vAlign w:val="center"/>
          </w:tcPr>
          <w:p w:rsidR="00AC1A2E" w:rsidRPr="00C72C4D" w:rsidRDefault="00C72C4D" w:rsidP="00C72C4D">
            <w:pPr>
              <w:jc w:val="center"/>
              <w:rPr>
                <w:rFonts w:ascii="Times New Roman" w:eastAsia="Times New Roman" w:hAnsi="Times New Roman"/>
                <w:noProof w:val="0"/>
                <w:color w:val="000000"/>
                <w:sz w:val="22"/>
                <w:szCs w:val="22"/>
                <w:lang w:val="en-US" w:eastAsia="ru-RU"/>
              </w:rPr>
            </w:pPr>
            <w:r>
              <w:rPr>
                <w:rFonts w:ascii="Times New Roman" w:eastAsia="Times New Roman" w:hAnsi="Times New Roman"/>
                <w:noProof w:val="0"/>
                <w:color w:val="000000"/>
                <w:sz w:val="22"/>
                <w:szCs w:val="22"/>
                <w:lang w:eastAsia="ru-RU"/>
              </w:rPr>
              <w:t>8 567 900,0</w:t>
            </w:r>
            <w:r>
              <w:rPr>
                <w:rFonts w:ascii="Times New Roman" w:eastAsia="Times New Roman" w:hAnsi="Times New Roman"/>
                <w:noProof w:val="0"/>
                <w:color w:val="000000"/>
                <w:sz w:val="22"/>
                <w:szCs w:val="22"/>
                <w:lang w:val="en-US" w:eastAsia="ru-RU"/>
              </w:rPr>
              <w:t>0</w:t>
            </w:r>
          </w:p>
        </w:tc>
        <w:tc>
          <w:tcPr>
            <w:tcW w:w="2867" w:type="dxa"/>
            <w:vMerge w:val="restart"/>
            <w:shd w:val="clear" w:color="auto" w:fill="auto"/>
            <w:vAlign w:val="center"/>
          </w:tcPr>
          <w:p w:rsidR="00A46758" w:rsidRPr="00DD53B7" w:rsidRDefault="00413EFC" w:rsidP="00DD53B7">
            <w:pPr>
              <w:jc w:val="center"/>
              <w:rPr>
                <w:rFonts w:ascii="Times New Roman" w:eastAsia="Times New Roman" w:hAnsi="Times New Roman"/>
                <w:bCs/>
                <w:noProof w:val="0"/>
                <w:color w:val="000000"/>
                <w:sz w:val="20"/>
                <w:lang w:eastAsia="ru-RU"/>
              </w:rPr>
            </w:pPr>
            <w:r w:rsidRPr="00DD53B7">
              <w:rPr>
                <w:rFonts w:ascii="Times New Roman" w:eastAsia="Times New Roman" w:hAnsi="Times New Roman"/>
                <w:bCs/>
                <w:noProof w:val="0"/>
                <w:color w:val="000000"/>
                <w:sz w:val="20"/>
                <w:lang w:eastAsia="ru-RU"/>
              </w:rPr>
              <w:t>Среднее арифметическое значение полученных ТКП:</w:t>
            </w:r>
          </w:p>
          <w:p w:rsidR="00AC1A2E" w:rsidRPr="00DD53B7" w:rsidRDefault="00C72C4D" w:rsidP="00DD53B7">
            <w:pPr>
              <w:jc w:val="center"/>
              <w:rPr>
                <w:rFonts w:ascii="Times New Roman" w:eastAsia="Times New Roman" w:hAnsi="Times New Roman"/>
                <w:noProof w:val="0"/>
                <w:color w:val="000000"/>
                <w:sz w:val="20"/>
              </w:rPr>
            </w:pPr>
            <w:r>
              <w:rPr>
                <w:rFonts w:ascii="Times New Roman" w:hAnsi="Times New Roman"/>
                <w:color w:val="000000"/>
                <w:sz w:val="20"/>
              </w:rPr>
              <w:t>9 997 500,00</w:t>
            </w:r>
          </w:p>
        </w:tc>
        <w:tc>
          <w:tcPr>
            <w:tcW w:w="3261" w:type="dxa"/>
            <w:vMerge w:val="restart"/>
            <w:tcBorders>
              <w:top w:val="single" w:sz="4" w:space="0" w:color="auto"/>
              <w:left w:val="nil"/>
              <w:right w:val="single" w:sz="4" w:space="0" w:color="auto"/>
            </w:tcBorders>
            <w:shd w:val="clear" w:color="auto" w:fill="auto"/>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r>
      <w:tr w:rsidR="00AC1A2E" w:rsidRPr="00DD53B7" w:rsidTr="00DD53B7">
        <w:trPr>
          <w:trHeight w:val="70"/>
        </w:trPr>
        <w:tc>
          <w:tcPr>
            <w:tcW w:w="2261" w:type="dxa"/>
            <w:vMerge/>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c>
          <w:tcPr>
            <w:tcW w:w="3526" w:type="dxa"/>
            <w:shd w:val="clear" w:color="auto" w:fill="auto"/>
            <w:vAlign w:val="center"/>
          </w:tcPr>
          <w:p w:rsidR="00AC1A2E" w:rsidRPr="00DD53B7" w:rsidRDefault="00BF127B" w:rsidP="00DD53B7">
            <w:pPr>
              <w:spacing w:before="60" w:after="60"/>
              <w:jc w:val="center"/>
              <w:rPr>
                <w:rFonts w:ascii="Times New Roman" w:eastAsia="Times New Roman" w:hAnsi="Times New Roman"/>
                <w:noProof w:val="0"/>
                <w:snapToGrid w:val="0"/>
                <w:sz w:val="22"/>
                <w:szCs w:val="22"/>
                <w:shd w:val="clear" w:color="auto" w:fill="FFFF99"/>
                <w:lang w:eastAsia="ru-RU"/>
              </w:rPr>
            </w:pPr>
            <w:r w:rsidRPr="00DD53B7">
              <w:rPr>
                <w:rFonts w:ascii="Times New Roman" w:eastAsia="Times New Roman" w:hAnsi="Times New Roman"/>
                <w:noProof w:val="0"/>
                <w:snapToGrid w:val="0"/>
                <w:sz w:val="22"/>
                <w:szCs w:val="22"/>
                <w:lang w:eastAsia="ru-RU"/>
              </w:rPr>
              <w:t>ТКП</w:t>
            </w:r>
            <w:r w:rsidR="00AC1A2E" w:rsidRPr="00DD53B7">
              <w:rPr>
                <w:rFonts w:ascii="Times New Roman" w:eastAsia="Times New Roman" w:hAnsi="Times New Roman"/>
                <w:noProof w:val="0"/>
                <w:snapToGrid w:val="0"/>
                <w:sz w:val="22"/>
                <w:szCs w:val="22"/>
                <w:lang w:eastAsia="ru-RU"/>
              </w:rPr>
              <w:t xml:space="preserve"> №2</w:t>
            </w:r>
          </w:p>
        </w:tc>
        <w:tc>
          <w:tcPr>
            <w:tcW w:w="2686" w:type="dxa"/>
            <w:shd w:val="clear" w:color="auto" w:fill="auto"/>
            <w:vAlign w:val="center"/>
          </w:tcPr>
          <w:p w:rsidR="00AC1A2E" w:rsidRPr="00DD53B7" w:rsidRDefault="00C72C4D" w:rsidP="00CB66A4">
            <w:pPr>
              <w:jc w:val="center"/>
              <w:rPr>
                <w:rFonts w:ascii="Times New Roman" w:eastAsia="Times New Roman" w:hAnsi="Times New Roman"/>
                <w:noProof w:val="0"/>
                <w:color w:val="000000"/>
                <w:sz w:val="22"/>
                <w:szCs w:val="22"/>
              </w:rPr>
            </w:pPr>
            <w:r>
              <w:rPr>
                <w:rFonts w:ascii="Times New Roman" w:eastAsia="Times New Roman" w:hAnsi="Times New Roman"/>
                <w:noProof w:val="0"/>
                <w:color w:val="000000"/>
                <w:sz w:val="22"/>
                <w:szCs w:val="22"/>
                <w:lang w:eastAsia="ru-RU"/>
              </w:rPr>
              <w:t>10 057 500,00</w:t>
            </w:r>
          </w:p>
        </w:tc>
        <w:tc>
          <w:tcPr>
            <w:tcW w:w="2867" w:type="dxa"/>
            <w:vMerge/>
            <w:shd w:val="clear" w:color="auto" w:fill="auto"/>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c>
          <w:tcPr>
            <w:tcW w:w="3261" w:type="dxa"/>
            <w:vMerge/>
            <w:tcBorders>
              <w:left w:val="nil"/>
              <w:right w:val="single" w:sz="4" w:space="0" w:color="auto"/>
            </w:tcBorders>
            <w:shd w:val="clear" w:color="auto" w:fill="auto"/>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r>
      <w:tr w:rsidR="00AC1A2E" w:rsidRPr="00DD53B7" w:rsidTr="00DD53B7">
        <w:trPr>
          <w:trHeight w:val="70"/>
        </w:trPr>
        <w:tc>
          <w:tcPr>
            <w:tcW w:w="2261" w:type="dxa"/>
            <w:vMerge/>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c>
          <w:tcPr>
            <w:tcW w:w="3526" w:type="dxa"/>
            <w:shd w:val="clear" w:color="auto" w:fill="auto"/>
            <w:vAlign w:val="center"/>
          </w:tcPr>
          <w:p w:rsidR="00AC1A2E" w:rsidRPr="00DD53B7" w:rsidRDefault="00BF127B" w:rsidP="00DD53B7">
            <w:pPr>
              <w:spacing w:before="60" w:after="60"/>
              <w:jc w:val="center"/>
              <w:rPr>
                <w:rFonts w:ascii="Times New Roman" w:eastAsia="Times New Roman" w:hAnsi="Times New Roman"/>
                <w:noProof w:val="0"/>
                <w:snapToGrid w:val="0"/>
                <w:sz w:val="22"/>
                <w:szCs w:val="22"/>
                <w:shd w:val="clear" w:color="auto" w:fill="FFFF99"/>
                <w:lang w:eastAsia="ru-RU"/>
              </w:rPr>
            </w:pPr>
            <w:r w:rsidRPr="00DD53B7">
              <w:rPr>
                <w:rFonts w:ascii="Times New Roman" w:eastAsia="Times New Roman" w:hAnsi="Times New Roman"/>
                <w:noProof w:val="0"/>
                <w:snapToGrid w:val="0"/>
                <w:sz w:val="22"/>
                <w:szCs w:val="22"/>
                <w:lang w:eastAsia="ru-RU"/>
              </w:rPr>
              <w:t>ТКП</w:t>
            </w:r>
            <w:r w:rsidR="00AC1A2E" w:rsidRPr="00DD53B7">
              <w:rPr>
                <w:rFonts w:ascii="Times New Roman" w:eastAsia="Times New Roman" w:hAnsi="Times New Roman"/>
                <w:noProof w:val="0"/>
                <w:snapToGrid w:val="0"/>
                <w:sz w:val="22"/>
                <w:szCs w:val="22"/>
                <w:lang w:eastAsia="ru-RU"/>
              </w:rPr>
              <w:t xml:space="preserve"> №3</w:t>
            </w:r>
          </w:p>
        </w:tc>
        <w:tc>
          <w:tcPr>
            <w:tcW w:w="2686" w:type="dxa"/>
            <w:shd w:val="clear" w:color="auto" w:fill="auto"/>
            <w:vAlign w:val="center"/>
          </w:tcPr>
          <w:p w:rsidR="00AC1A2E" w:rsidRPr="00DD53B7" w:rsidRDefault="00C72C4D" w:rsidP="0050208B">
            <w:pPr>
              <w:jc w:val="center"/>
              <w:rPr>
                <w:rFonts w:ascii="Times New Roman" w:eastAsia="Times New Roman" w:hAnsi="Times New Roman"/>
                <w:noProof w:val="0"/>
                <w:color w:val="000000"/>
                <w:sz w:val="22"/>
                <w:szCs w:val="22"/>
              </w:rPr>
            </w:pPr>
            <w:r w:rsidRPr="00C72C4D">
              <w:rPr>
                <w:rFonts w:ascii="Times New Roman" w:eastAsia="Times New Roman" w:hAnsi="Times New Roman"/>
                <w:noProof w:val="0"/>
                <w:color w:val="000000"/>
                <w:sz w:val="22"/>
                <w:szCs w:val="22"/>
              </w:rPr>
              <w:t>11 367 100,00</w:t>
            </w:r>
          </w:p>
        </w:tc>
        <w:tc>
          <w:tcPr>
            <w:tcW w:w="2867" w:type="dxa"/>
            <w:vMerge/>
            <w:shd w:val="clear" w:color="auto" w:fill="auto"/>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c>
          <w:tcPr>
            <w:tcW w:w="3261" w:type="dxa"/>
            <w:vMerge/>
            <w:tcBorders>
              <w:left w:val="nil"/>
              <w:bottom w:val="single" w:sz="4" w:space="0" w:color="auto"/>
              <w:right w:val="single" w:sz="4" w:space="0" w:color="auto"/>
            </w:tcBorders>
            <w:shd w:val="clear" w:color="auto" w:fill="auto"/>
            <w:vAlign w:val="center"/>
          </w:tcPr>
          <w:p w:rsidR="00AC1A2E" w:rsidRPr="00DD53B7" w:rsidRDefault="00AC1A2E" w:rsidP="00DD53B7">
            <w:pPr>
              <w:spacing w:before="60" w:after="60"/>
              <w:jc w:val="center"/>
              <w:rPr>
                <w:rFonts w:ascii="Times New Roman" w:eastAsia="Times New Roman" w:hAnsi="Times New Roman"/>
                <w:noProof w:val="0"/>
                <w:snapToGrid w:val="0"/>
                <w:sz w:val="20"/>
                <w:shd w:val="clear" w:color="auto" w:fill="FFFF99"/>
                <w:lang w:eastAsia="ru-RU"/>
              </w:rPr>
            </w:pPr>
          </w:p>
        </w:tc>
      </w:tr>
    </w:tbl>
    <w:p w:rsidR="00AC1A2E" w:rsidRPr="00C13822" w:rsidRDefault="00AC1A2E" w:rsidP="00AC1A2E">
      <w:pPr>
        <w:contextualSpacing/>
        <w:jc w:val="both"/>
        <w:rPr>
          <w:rFonts w:ascii="Times New Roman" w:eastAsia="Calibri" w:hAnsi="Times New Roman"/>
          <w:noProof w:val="0"/>
          <w:sz w:val="26"/>
          <w:szCs w:val="26"/>
        </w:rPr>
      </w:pPr>
    </w:p>
    <w:p w:rsidR="00AC1A2E" w:rsidRPr="00663593" w:rsidRDefault="00AC1A2E" w:rsidP="00663593">
      <w:pPr>
        <w:pStyle w:val="a9"/>
        <w:keepNext/>
        <w:spacing w:after="120"/>
        <w:jc w:val="both"/>
        <w:rPr>
          <w:rFonts w:ascii="Times New Roman" w:eastAsia="Calibri" w:hAnsi="Times New Roman"/>
          <w:noProof w:val="0"/>
          <w:sz w:val="26"/>
          <w:szCs w:val="26"/>
        </w:rPr>
      </w:pPr>
    </w:p>
    <w:sectPr w:rsidR="00AC1A2E" w:rsidRPr="00663593" w:rsidSect="00413EFC">
      <w:headerReference w:type="even" r:id="rId8"/>
      <w:headerReference w:type="default" r:id="rId9"/>
      <w:pgSz w:w="16838" w:h="11906" w:orient="landscape"/>
      <w:pgMar w:top="1134" w:right="1418"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862" w:rsidRDefault="00C23862">
      <w:r>
        <w:separator/>
      </w:r>
    </w:p>
  </w:endnote>
  <w:endnote w:type="continuationSeparator" w:id="0">
    <w:p w:rsidR="00C23862" w:rsidRDefault="00C2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862" w:rsidRDefault="00C23862">
      <w:r>
        <w:separator/>
      </w:r>
    </w:p>
  </w:footnote>
  <w:footnote w:type="continuationSeparator" w:id="0">
    <w:p w:rsidR="00C23862" w:rsidRDefault="00C23862">
      <w:r>
        <w:continuationSeparator/>
      </w:r>
    </w:p>
  </w:footnote>
  <w:footnote w:id="1">
    <w:p w:rsidR="00AC1A2E" w:rsidRPr="00D475C4" w:rsidRDefault="00AC1A2E" w:rsidP="00AC1A2E">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13E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13DA"/>
    <w:rsid w:val="00013AF2"/>
    <w:rsid w:val="000370DF"/>
    <w:rsid w:val="00043B7E"/>
    <w:rsid w:val="00063CD1"/>
    <w:rsid w:val="00092EEC"/>
    <w:rsid w:val="000A7616"/>
    <w:rsid w:val="000B2E5C"/>
    <w:rsid w:val="000B56DF"/>
    <w:rsid w:val="000E0F40"/>
    <w:rsid w:val="000E7187"/>
    <w:rsid w:val="000F21ED"/>
    <w:rsid w:val="00104B16"/>
    <w:rsid w:val="00105183"/>
    <w:rsid w:val="00111D3D"/>
    <w:rsid w:val="0011717B"/>
    <w:rsid w:val="001225B1"/>
    <w:rsid w:val="00127B64"/>
    <w:rsid w:val="00140E4A"/>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B3A8E"/>
    <w:rsid w:val="002B6ADB"/>
    <w:rsid w:val="00304CA3"/>
    <w:rsid w:val="00317A4D"/>
    <w:rsid w:val="003255D6"/>
    <w:rsid w:val="00336344"/>
    <w:rsid w:val="003544EF"/>
    <w:rsid w:val="0035676E"/>
    <w:rsid w:val="003614C4"/>
    <w:rsid w:val="003619CB"/>
    <w:rsid w:val="0036656B"/>
    <w:rsid w:val="003805A9"/>
    <w:rsid w:val="003A15E7"/>
    <w:rsid w:val="003C4F50"/>
    <w:rsid w:val="00413EFC"/>
    <w:rsid w:val="00415278"/>
    <w:rsid w:val="0043484B"/>
    <w:rsid w:val="00457B4B"/>
    <w:rsid w:val="0049024A"/>
    <w:rsid w:val="00490CD4"/>
    <w:rsid w:val="004A76E5"/>
    <w:rsid w:val="004E4369"/>
    <w:rsid w:val="004E464F"/>
    <w:rsid w:val="004F4D81"/>
    <w:rsid w:val="004F78BF"/>
    <w:rsid w:val="0050208B"/>
    <w:rsid w:val="00510C31"/>
    <w:rsid w:val="005158A2"/>
    <w:rsid w:val="0052256A"/>
    <w:rsid w:val="00545AC0"/>
    <w:rsid w:val="005518AE"/>
    <w:rsid w:val="00562661"/>
    <w:rsid w:val="00570020"/>
    <w:rsid w:val="00585529"/>
    <w:rsid w:val="005A41DC"/>
    <w:rsid w:val="005D35D1"/>
    <w:rsid w:val="005E08C5"/>
    <w:rsid w:val="005F30B7"/>
    <w:rsid w:val="006045C9"/>
    <w:rsid w:val="00620E96"/>
    <w:rsid w:val="00632222"/>
    <w:rsid w:val="00644210"/>
    <w:rsid w:val="00663593"/>
    <w:rsid w:val="00680FD6"/>
    <w:rsid w:val="0068312B"/>
    <w:rsid w:val="006B7434"/>
    <w:rsid w:val="006E6DE3"/>
    <w:rsid w:val="006F234E"/>
    <w:rsid w:val="006F668B"/>
    <w:rsid w:val="00734ABD"/>
    <w:rsid w:val="007402F2"/>
    <w:rsid w:val="00744264"/>
    <w:rsid w:val="00757EAB"/>
    <w:rsid w:val="00760F3C"/>
    <w:rsid w:val="007B7F12"/>
    <w:rsid w:val="007D28B5"/>
    <w:rsid w:val="00802F00"/>
    <w:rsid w:val="0080610B"/>
    <w:rsid w:val="008151A0"/>
    <w:rsid w:val="00823239"/>
    <w:rsid w:val="00847B99"/>
    <w:rsid w:val="00860579"/>
    <w:rsid w:val="008A14A9"/>
    <w:rsid w:val="008B0EAB"/>
    <w:rsid w:val="008B4D22"/>
    <w:rsid w:val="008C0F5D"/>
    <w:rsid w:val="008C73DE"/>
    <w:rsid w:val="008D1E5C"/>
    <w:rsid w:val="008D3453"/>
    <w:rsid w:val="008D3D81"/>
    <w:rsid w:val="008F7426"/>
    <w:rsid w:val="0091329B"/>
    <w:rsid w:val="00914244"/>
    <w:rsid w:val="00914A42"/>
    <w:rsid w:val="009208D9"/>
    <w:rsid w:val="00934499"/>
    <w:rsid w:val="009429DA"/>
    <w:rsid w:val="0095575B"/>
    <w:rsid w:val="009732BF"/>
    <w:rsid w:val="009B7EA6"/>
    <w:rsid w:val="009C129A"/>
    <w:rsid w:val="009D7410"/>
    <w:rsid w:val="009E568D"/>
    <w:rsid w:val="00A05C46"/>
    <w:rsid w:val="00A1144F"/>
    <w:rsid w:val="00A215B2"/>
    <w:rsid w:val="00A4061B"/>
    <w:rsid w:val="00A4619C"/>
    <w:rsid w:val="00A46758"/>
    <w:rsid w:val="00A509C8"/>
    <w:rsid w:val="00A52F75"/>
    <w:rsid w:val="00A832BB"/>
    <w:rsid w:val="00AA1C20"/>
    <w:rsid w:val="00AB0475"/>
    <w:rsid w:val="00AC0D4C"/>
    <w:rsid w:val="00AC1A2E"/>
    <w:rsid w:val="00AE25E6"/>
    <w:rsid w:val="00AE6C7E"/>
    <w:rsid w:val="00B01735"/>
    <w:rsid w:val="00B035EE"/>
    <w:rsid w:val="00B05ABF"/>
    <w:rsid w:val="00B10C99"/>
    <w:rsid w:val="00B25BB9"/>
    <w:rsid w:val="00B264AF"/>
    <w:rsid w:val="00B40238"/>
    <w:rsid w:val="00B43317"/>
    <w:rsid w:val="00B443AC"/>
    <w:rsid w:val="00B5058B"/>
    <w:rsid w:val="00B540F0"/>
    <w:rsid w:val="00B826FE"/>
    <w:rsid w:val="00B84CE8"/>
    <w:rsid w:val="00B85244"/>
    <w:rsid w:val="00B9315D"/>
    <w:rsid w:val="00B96454"/>
    <w:rsid w:val="00BA730A"/>
    <w:rsid w:val="00BA7A48"/>
    <w:rsid w:val="00BB06C8"/>
    <w:rsid w:val="00BC7000"/>
    <w:rsid w:val="00BC7861"/>
    <w:rsid w:val="00BD513C"/>
    <w:rsid w:val="00BD5AF3"/>
    <w:rsid w:val="00BD5DD4"/>
    <w:rsid w:val="00BE0355"/>
    <w:rsid w:val="00BF127B"/>
    <w:rsid w:val="00BF44AA"/>
    <w:rsid w:val="00C0400B"/>
    <w:rsid w:val="00C12EFB"/>
    <w:rsid w:val="00C13822"/>
    <w:rsid w:val="00C15D52"/>
    <w:rsid w:val="00C23862"/>
    <w:rsid w:val="00C27055"/>
    <w:rsid w:val="00C338E8"/>
    <w:rsid w:val="00C46AC7"/>
    <w:rsid w:val="00C52CE8"/>
    <w:rsid w:val="00C6496E"/>
    <w:rsid w:val="00C70B69"/>
    <w:rsid w:val="00C72C4D"/>
    <w:rsid w:val="00C82CE5"/>
    <w:rsid w:val="00C83C49"/>
    <w:rsid w:val="00C84053"/>
    <w:rsid w:val="00CB0F09"/>
    <w:rsid w:val="00CB15A5"/>
    <w:rsid w:val="00CB66A4"/>
    <w:rsid w:val="00CC33EC"/>
    <w:rsid w:val="00CC4CB5"/>
    <w:rsid w:val="00CC619E"/>
    <w:rsid w:val="00D002CA"/>
    <w:rsid w:val="00D00EA5"/>
    <w:rsid w:val="00D41DF7"/>
    <w:rsid w:val="00D475C4"/>
    <w:rsid w:val="00D6795A"/>
    <w:rsid w:val="00DB6785"/>
    <w:rsid w:val="00DD53B7"/>
    <w:rsid w:val="00DE1FB1"/>
    <w:rsid w:val="00DE30DF"/>
    <w:rsid w:val="00DE3F5B"/>
    <w:rsid w:val="00DE4472"/>
    <w:rsid w:val="00DE71A3"/>
    <w:rsid w:val="00DE7684"/>
    <w:rsid w:val="00DF4D67"/>
    <w:rsid w:val="00E03975"/>
    <w:rsid w:val="00E15367"/>
    <w:rsid w:val="00E46755"/>
    <w:rsid w:val="00E500CF"/>
    <w:rsid w:val="00E52742"/>
    <w:rsid w:val="00E821AF"/>
    <w:rsid w:val="00E90A07"/>
    <w:rsid w:val="00EA5E21"/>
    <w:rsid w:val="00EE12AF"/>
    <w:rsid w:val="00EE14F9"/>
    <w:rsid w:val="00EE45CB"/>
    <w:rsid w:val="00EF1E7D"/>
    <w:rsid w:val="00F141D3"/>
    <w:rsid w:val="00F1600D"/>
    <w:rsid w:val="00F204F1"/>
    <w:rsid w:val="00F31D5D"/>
    <w:rsid w:val="00F335C9"/>
    <w:rsid w:val="00F35415"/>
    <w:rsid w:val="00F67DF9"/>
    <w:rsid w:val="00F7595B"/>
    <w:rsid w:val="00F77C8E"/>
    <w:rsid w:val="00FA5905"/>
    <w:rsid w:val="00FB30F7"/>
    <w:rsid w:val="00FB64D6"/>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1549607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58122-A5FD-4E55-A6BC-05EE7D18C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2</cp:revision>
  <cp:lastPrinted>2021-07-02T09:19:00Z</cp:lastPrinted>
  <dcterms:created xsi:type="dcterms:W3CDTF">2021-07-28T07:30:00Z</dcterms:created>
  <dcterms:modified xsi:type="dcterms:W3CDTF">2021-07-28T07:30:00Z</dcterms:modified>
</cp:coreProperties>
</file>