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bookmarkStart w:id="0" w:name="_GoBack"/>
      <w:bookmarkEnd w:id="0"/>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D15FE6" w:rsidRDefault="001546F4" w:rsidP="00C13822">
            <w:pPr>
              <w:spacing w:before="60" w:after="60" w:line="360" w:lineRule="exact"/>
              <w:rPr>
                <w:rFonts w:ascii="Times New Roman" w:eastAsia="Times New Roman" w:hAnsi="Times New Roman"/>
                <w:i/>
                <w:noProof w:val="0"/>
                <w:snapToGrid w:val="0"/>
                <w:sz w:val="20"/>
                <w:shd w:val="clear" w:color="auto" w:fill="FFFF99"/>
                <w:lang w:eastAsia="ru-RU"/>
              </w:rPr>
            </w:pPr>
            <w:r w:rsidRPr="001546F4">
              <w:rPr>
                <w:rFonts w:ascii="Times New Roman" w:eastAsia="Times New Roman" w:hAnsi="Times New Roman"/>
                <w:b/>
                <w:i/>
                <w:noProof w:val="0"/>
                <w:snapToGrid w:val="0"/>
                <w:sz w:val="22"/>
                <w:szCs w:val="22"/>
                <w:lang w:eastAsia="ru-RU"/>
              </w:rPr>
              <w:t>«Капитальный ремонт ВЛ 110 кВ СП СЭС филиала ХЭС»</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0863D2" w:rsidRDefault="000863D2" w:rsidP="001546F4">
            <w:pPr>
              <w:spacing w:before="60" w:after="60" w:line="360" w:lineRule="exact"/>
              <w:rPr>
                <w:rFonts w:ascii="Times New Roman" w:eastAsia="Times New Roman" w:hAnsi="Times New Roman"/>
                <w:b/>
                <w:i/>
                <w:noProof w:val="0"/>
                <w:sz w:val="22"/>
                <w:szCs w:val="22"/>
              </w:rPr>
            </w:pPr>
            <w:r w:rsidRPr="000863D2">
              <w:rPr>
                <w:rFonts w:ascii="Times New Roman" w:eastAsia="Times New Roman" w:hAnsi="Times New Roman"/>
                <w:b/>
                <w:i/>
                <w:noProof w:val="0"/>
                <w:sz w:val="22"/>
                <w:szCs w:val="22"/>
              </w:rPr>
              <w:t>310501-РЕМ ПРОД-2021-ДРСК</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5B323C" w:rsidRDefault="001546F4" w:rsidP="00C13822">
            <w:pPr>
              <w:spacing w:before="60" w:after="60" w:line="360" w:lineRule="exact"/>
              <w:rPr>
                <w:rFonts w:ascii="Times New Roman" w:eastAsia="Times New Roman" w:hAnsi="Times New Roman"/>
                <w:b/>
                <w:i/>
                <w:noProof w:val="0"/>
                <w:snapToGrid w:val="0"/>
                <w:sz w:val="20"/>
                <w:shd w:val="clear" w:color="auto" w:fill="FFFF99"/>
                <w:lang w:eastAsia="ru-RU"/>
              </w:rPr>
            </w:pPr>
            <w:r w:rsidRPr="001546F4">
              <w:rPr>
                <w:rFonts w:ascii="Times New Roman" w:eastAsia="Times New Roman" w:hAnsi="Times New Roman"/>
                <w:b/>
                <w:i/>
                <w:noProof w:val="0"/>
                <w:sz w:val="22"/>
                <w:szCs w:val="22"/>
              </w:rPr>
              <w:t>3 584 870,00 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C13822" w:rsidRPr="00C13822" w:rsidRDefault="00C13822" w:rsidP="00C13822">
      <w:pPr>
        <w:contextualSpacing/>
        <w:jc w:val="both"/>
        <w:rPr>
          <w:rFonts w:ascii="Times New Roman" w:eastAsia="Calibri" w:hAnsi="Times New Roman"/>
          <w:noProof w:val="0"/>
          <w:sz w:val="26"/>
          <w:szCs w:val="26"/>
        </w:rPr>
      </w:pPr>
    </w:p>
    <w:sectPr w:rsidR="00C13822" w:rsidRPr="00C13822"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119" w:rsidRDefault="00066119">
      <w:r>
        <w:separator/>
      </w:r>
    </w:p>
  </w:endnote>
  <w:endnote w:type="continuationSeparator" w:id="0">
    <w:p w:rsidR="00066119" w:rsidRDefault="00066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119" w:rsidRDefault="00066119">
      <w:r>
        <w:separator/>
      </w:r>
    </w:p>
  </w:footnote>
  <w:footnote w:type="continuationSeparator" w:id="0">
    <w:p w:rsidR="00066119" w:rsidRDefault="00066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D15FE6">
          <w:rPr>
            <w:rFonts w:ascii="Times New Roman" w:hAnsi="Times New Roman"/>
          </w:rPr>
          <w:t>5</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66119"/>
    <w:rsid w:val="000863D2"/>
    <w:rsid w:val="00092EEC"/>
    <w:rsid w:val="000B56DF"/>
    <w:rsid w:val="000E0F40"/>
    <w:rsid w:val="000E7187"/>
    <w:rsid w:val="000F21ED"/>
    <w:rsid w:val="00104B16"/>
    <w:rsid w:val="00105183"/>
    <w:rsid w:val="00111D3D"/>
    <w:rsid w:val="001225B1"/>
    <w:rsid w:val="00127B64"/>
    <w:rsid w:val="001546F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304CA3"/>
    <w:rsid w:val="00317A4D"/>
    <w:rsid w:val="003255D6"/>
    <w:rsid w:val="00336344"/>
    <w:rsid w:val="0035676E"/>
    <w:rsid w:val="003614C4"/>
    <w:rsid w:val="003619CB"/>
    <w:rsid w:val="0036656B"/>
    <w:rsid w:val="003805A9"/>
    <w:rsid w:val="003A15E7"/>
    <w:rsid w:val="003C4F50"/>
    <w:rsid w:val="00415278"/>
    <w:rsid w:val="00457B4B"/>
    <w:rsid w:val="0049024A"/>
    <w:rsid w:val="004E464F"/>
    <w:rsid w:val="004F4D81"/>
    <w:rsid w:val="004F78BF"/>
    <w:rsid w:val="00510C31"/>
    <w:rsid w:val="005158A2"/>
    <w:rsid w:val="00545AC0"/>
    <w:rsid w:val="005518AE"/>
    <w:rsid w:val="00570020"/>
    <w:rsid w:val="00585529"/>
    <w:rsid w:val="005A41DC"/>
    <w:rsid w:val="005B323C"/>
    <w:rsid w:val="005E08C5"/>
    <w:rsid w:val="005F30B7"/>
    <w:rsid w:val="006045C9"/>
    <w:rsid w:val="00620E96"/>
    <w:rsid w:val="00632222"/>
    <w:rsid w:val="00680FD6"/>
    <w:rsid w:val="006B7434"/>
    <w:rsid w:val="006E6DE3"/>
    <w:rsid w:val="006F668B"/>
    <w:rsid w:val="00734ABD"/>
    <w:rsid w:val="00744264"/>
    <w:rsid w:val="00757EAB"/>
    <w:rsid w:val="00760F3C"/>
    <w:rsid w:val="007B7F12"/>
    <w:rsid w:val="007D28B5"/>
    <w:rsid w:val="00802F00"/>
    <w:rsid w:val="008151A0"/>
    <w:rsid w:val="00823239"/>
    <w:rsid w:val="00847B99"/>
    <w:rsid w:val="00860579"/>
    <w:rsid w:val="008A14A9"/>
    <w:rsid w:val="008C0F5D"/>
    <w:rsid w:val="008C73DE"/>
    <w:rsid w:val="008D1E5C"/>
    <w:rsid w:val="008D3453"/>
    <w:rsid w:val="008D3D81"/>
    <w:rsid w:val="008F7426"/>
    <w:rsid w:val="0091329B"/>
    <w:rsid w:val="00914244"/>
    <w:rsid w:val="00914A42"/>
    <w:rsid w:val="009208D9"/>
    <w:rsid w:val="009429DA"/>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7000"/>
    <w:rsid w:val="00BC7861"/>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15FE6"/>
    <w:rsid w:val="00D41DF7"/>
    <w:rsid w:val="00D475C4"/>
    <w:rsid w:val="00D6795A"/>
    <w:rsid w:val="00DB6785"/>
    <w:rsid w:val="00DE30DF"/>
    <w:rsid w:val="00DE3F5B"/>
    <w:rsid w:val="00DE7684"/>
    <w:rsid w:val="00DF4D67"/>
    <w:rsid w:val="00E15367"/>
    <w:rsid w:val="00E46755"/>
    <w:rsid w:val="00E52742"/>
    <w:rsid w:val="00E821AF"/>
    <w:rsid w:val="00E90A07"/>
    <w:rsid w:val="00EA5E21"/>
    <w:rsid w:val="00EE12AF"/>
    <w:rsid w:val="00F204F1"/>
    <w:rsid w:val="00F31D5D"/>
    <w:rsid w:val="00F335C9"/>
    <w:rsid w:val="00F7595B"/>
    <w:rsid w:val="00FA5905"/>
    <w:rsid w:val="00FB30F7"/>
    <w:rsid w:val="00FB64D6"/>
    <w:rsid w:val="00FC31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92E6D-9F44-4A55-8608-F95B5E990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67</Words>
  <Characters>386</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Чуясова Елена Геннадьевна</cp:lastModifiedBy>
  <cp:revision>9</cp:revision>
  <cp:lastPrinted>2021-07-02T09:19:00Z</cp:lastPrinted>
  <dcterms:created xsi:type="dcterms:W3CDTF">2021-07-05T12:53:00Z</dcterms:created>
  <dcterms:modified xsi:type="dcterms:W3CDTF">2021-07-08T07:46:00Z</dcterms:modified>
</cp:coreProperties>
</file>