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1B1320" w:rsidRDefault="00884B5C" w:rsidP="001B1320">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w:t>
      </w:r>
      <w:r w:rsidRPr="001B1320">
        <w:rPr>
          <w:sz w:val="24"/>
          <w:szCs w:val="24"/>
        </w:rPr>
        <w:t>01.01.202</w:t>
      </w:r>
      <w:r w:rsidR="00A10FB7" w:rsidRPr="001B1320">
        <w:rPr>
          <w:sz w:val="24"/>
          <w:szCs w:val="24"/>
        </w:rPr>
        <w:t>1</w:t>
      </w:r>
      <w:r w:rsidRPr="001B1320">
        <w:rPr>
          <w:sz w:val="24"/>
          <w:szCs w:val="24"/>
        </w:rPr>
        <w:t>, с одной сторон</w:t>
      </w:r>
      <w:r w:rsidR="007B2D6D" w:rsidRPr="001B1320">
        <w:rPr>
          <w:sz w:val="24"/>
          <w:szCs w:val="24"/>
        </w:rPr>
        <w:t>ы</w:t>
      </w:r>
      <w:r w:rsidR="002C069D" w:rsidRPr="001B1320">
        <w:rPr>
          <w:sz w:val="24"/>
          <w:szCs w:val="24"/>
        </w:rPr>
        <w:t>, и</w:t>
      </w:r>
      <w:r w:rsidR="007B2D6D" w:rsidRPr="001B1320">
        <w:rPr>
          <w:b/>
          <w:sz w:val="24"/>
          <w:szCs w:val="24"/>
        </w:rPr>
        <w:t xml:space="preserve"> </w:t>
      </w:r>
      <w:r w:rsidR="008C44B5" w:rsidRPr="001B1320">
        <w:rPr>
          <w:b/>
          <w:sz w:val="24"/>
          <w:szCs w:val="24"/>
        </w:rPr>
        <w:t>_________________________</w:t>
      </w:r>
      <w:r w:rsidR="003332A5" w:rsidRPr="001B1320">
        <w:rPr>
          <w:b/>
          <w:sz w:val="24"/>
          <w:szCs w:val="24"/>
        </w:rPr>
        <w:t>_____________________</w:t>
      </w:r>
      <w:r w:rsidR="008C44B5" w:rsidRPr="001B1320">
        <w:rPr>
          <w:b/>
          <w:sz w:val="24"/>
          <w:szCs w:val="24"/>
        </w:rPr>
        <w:t>____</w:t>
      </w:r>
      <w:r w:rsidR="002C069D" w:rsidRPr="001B1320">
        <w:rPr>
          <w:sz w:val="24"/>
          <w:szCs w:val="24"/>
        </w:rPr>
        <w:t xml:space="preserve">, </w:t>
      </w:r>
      <w:r w:rsidR="00495E85" w:rsidRPr="001B1320">
        <w:rPr>
          <w:sz w:val="24"/>
          <w:szCs w:val="24"/>
        </w:rPr>
        <w:t xml:space="preserve">действующего на основании </w:t>
      </w:r>
      <w:r w:rsidR="008C44B5" w:rsidRPr="001B1320">
        <w:rPr>
          <w:sz w:val="24"/>
          <w:szCs w:val="24"/>
        </w:rPr>
        <w:t>____________________________</w:t>
      </w:r>
      <w:r w:rsidR="00495E85" w:rsidRPr="001B1320">
        <w:rPr>
          <w:sz w:val="24"/>
          <w:szCs w:val="24"/>
        </w:rPr>
        <w:t xml:space="preserve"> (далее – «Подрядчик»)</w:t>
      </w:r>
    </w:p>
    <w:p w:rsidR="001B1320" w:rsidRPr="001B1320" w:rsidRDefault="002C069D" w:rsidP="001B1320">
      <w:pPr>
        <w:widowControl w:val="0"/>
        <w:spacing w:line="240" w:lineRule="auto"/>
        <w:ind w:firstLine="709"/>
        <w:contextualSpacing/>
        <w:rPr>
          <w:sz w:val="24"/>
          <w:szCs w:val="24"/>
        </w:rPr>
      </w:pPr>
      <w:r w:rsidRPr="001B1320">
        <w:rPr>
          <w:sz w:val="24"/>
          <w:szCs w:val="24"/>
        </w:rPr>
        <w:t xml:space="preserve">совместно в дальнейшем именуемые «Стороны», а по отдельности – «Сторона», </w:t>
      </w:r>
      <w:r w:rsidR="001D2676" w:rsidRPr="001B1320">
        <w:rPr>
          <w:sz w:val="24"/>
          <w:szCs w:val="24"/>
        </w:rPr>
        <w:t xml:space="preserve">по результатам </w:t>
      </w:r>
      <w:r w:rsidR="00422086" w:rsidRPr="001B1320">
        <w:rPr>
          <w:sz w:val="24"/>
          <w:szCs w:val="24"/>
        </w:rPr>
        <w:t>проведенной</w:t>
      </w:r>
      <w:r w:rsidR="001D2676" w:rsidRPr="001B1320">
        <w:rPr>
          <w:sz w:val="24"/>
          <w:szCs w:val="24"/>
        </w:rPr>
        <w:t xml:space="preserve"> Заказчиком </w:t>
      </w:r>
      <w:r w:rsidR="00422086" w:rsidRPr="001B1320">
        <w:rPr>
          <w:sz w:val="24"/>
          <w:szCs w:val="24"/>
        </w:rPr>
        <w:t>конкурентной процедуры</w:t>
      </w:r>
      <w:r w:rsidR="00A02E92" w:rsidRPr="001B1320">
        <w:rPr>
          <w:sz w:val="24"/>
          <w:szCs w:val="24"/>
        </w:rPr>
        <w:t xml:space="preserve"> </w:t>
      </w:r>
      <w:r w:rsidR="00FF200A" w:rsidRPr="001B1320">
        <w:rPr>
          <w:sz w:val="24"/>
          <w:szCs w:val="24"/>
        </w:rPr>
        <w:t xml:space="preserve">на право заключения договора </w:t>
      </w:r>
      <w:r w:rsidR="001B1320" w:rsidRPr="001B1320">
        <w:rPr>
          <w:b/>
          <w:i/>
          <w:sz w:val="24"/>
          <w:szCs w:val="24"/>
        </w:rPr>
        <w:t>на чистку просеки ВЛ 0,4-10-35-110кВ СП ПЗЭС филиала ПЭС</w:t>
      </w:r>
    </w:p>
    <w:p w:rsidR="00AB7F51" w:rsidRPr="001B1320" w:rsidRDefault="00947A25" w:rsidP="001B1320">
      <w:pPr>
        <w:pStyle w:val="32"/>
        <w:ind w:firstLine="709"/>
        <w:rPr>
          <w:color w:val="auto"/>
          <w:lang w:val="ru-RU"/>
        </w:rPr>
      </w:pPr>
      <w:r w:rsidRPr="001B1320">
        <w:rPr>
          <w:b/>
          <w:color w:val="auto"/>
          <w:lang w:val="ru-RU"/>
        </w:rPr>
        <w:t xml:space="preserve"> </w:t>
      </w:r>
      <w:r w:rsidR="00FB6618" w:rsidRPr="001B1320">
        <w:rPr>
          <w:color w:val="auto"/>
          <w:lang w:val="ru-RU"/>
        </w:rPr>
        <w:t xml:space="preserve">в рамках закупки </w:t>
      </w:r>
      <w:r w:rsidR="008C44B5" w:rsidRPr="001B1320">
        <w:rPr>
          <w:color w:val="auto"/>
          <w:lang w:val="ru-RU"/>
        </w:rPr>
        <w:t>_____________________________________</w:t>
      </w:r>
      <w:r w:rsidR="00FB6618" w:rsidRPr="001B1320">
        <w:rPr>
          <w:color w:val="auto"/>
          <w:lang w:val="ru-RU"/>
        </w:rPr>
        <w:t xml:space="preserve">, </w:t>
      </w:r>
      <w:r w:rsidR="00AB7F51" w:rsidRPr="001B1320">
        <w:rPr>
          <w:color w:val="auto"/>
        </w:rPr>
        <w:t xml:space="preserve">заключили настоящий </w:t>
      </w:r>
      <w:r w:rsidR="00AB4A01" w:rsidRPr="001B1320">
        <w:rPr>
          <w:color w:val="auto"/>
        </w:rPr>
        <w:t xml:space="preserve">договор (далее – </w:t>
      </w:r>
      <w:r w:rsidR="000B4A55" w:rsidRPr="001B1320">
        <w:rPr>
          <w:color w:val="auto"/>
        </w:rPr>
        <w:t>«</w:t>
      </w:r>
      <w:r w:rsidR="00AB7F51" w:rsidRPr="001B1320">
        <w:rPr>
          <w:color w:val="auto"/>
        </w:rPr>
        <w:t>Договор</w:t>
      </w:r>
      <w:r w:rsidR="000B4A55" w:rsidRPr="001B1320">
        <w:rPr>
          <w:color w:val="auto"/>
        </w:rPr>
        <w:t>»</w:t>
      </w:r>
      <w:r w:rsidR="00AB4A01" w:rsidRPr="001B1320">
        <w:rPr>
          <w:color w:val="auto"/>
        </w:rPr>
        <w:t>)</w:t>
      </w:r>
      <w:r w:rsidR="00AB7F51" w:rsidRPr="001B1320">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1" w:name="OCRUncertain148"/>
      <w:r w:rsidRPr="00800F41">
        <w:rPr>
          <w:b/>
          <w:lang w:eastAsia="en-US"/>
        </w:rPr>
        <w:t>а</w:t>
      </w:r>
      <w:bookmarkEnd w:id="1"/>
      <w:r w:rsidRPr="00800F41">
        <w:rPr>
          <w:b/>
          <w:lang w:eastAsia="en-US"/>
        </w:rPr>
        <w:t>я док</w:t>
      </w:r>
      <w:bookmarkStart w:id="2" w:name="OCRUncertain149"/>
      <w:r w:rsidRPr="00800F41">
        <w:rPr>
          <w:b/>
          <w:lang w:eastAsia="en-US"/>
        </w:rPr>
        <w:t>у</w:t>
      </w:r>
      <w:bookmarkEnd w:id="2"/>
      <w:r w:rsidRPr="00800F41">
        <w:rPr>
          <w:b/>
          <w:lang w:eastAsia="en-US"/>
        </w:rPr>
        <w:t>м</w:t>
      </w:r>
      <w:bookmarkStart w:id="3" w:name="OCRUncertain150"/>
      <w:r w:rsidRPr="00800F41">
        <w:rPr>
          <w:b/>
          <w:lang w:eastAsia="en-US"/>
        </w:rPr>
        <w:t>е</w:t>
      </w:r>
      <w:bookmarkEnd w:id="3"/>
      <w:r w:rsidRPr="00800F41">
        <w:rPr>
          <w:b/>
          <w:lang w:eastAsia="en-US"/>
        </w:rPr>
        <w:t>нтац</w:t>
      </w:r>
      <w:bookmarkStart w:id="4" w:name="OCRUncertain151"/>
      <w:r w:rsidRPr="00800F41">
        <w:rPr>
          <w:b/>
          <w:lang w:eastAsia="en-US"/>
        </w:rPr>
        <w:t>и</w:t>
      </w:r>
      <w:bookmarkEnd w:id="4"/>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t xml:space="preserve">Термин «Работы» включает в себя упомянутые в настоящем пункте обязанности </w:t>
      </w:r>
      <w:r w:rsidRPr="00800F41">
        <w:rPr>
          <w:sz w:val="24"/>
          <w:szCs w:val="24"/>
        </w:rPr>
        <w:lastRenderedPageBreak/>
        <w:t xml:space="preserve">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2D3AE7" w:rsidRDefault="004B090F" w:rsidP="00947A25">
      <w:pPr>
        <w:pStyle w:val="a"/>
        <w:numPr>
          <w:ilvl w:val="1"/>
          <w:numId w:val="3"/>
        </w:numPr>
        <w:tabs>
          <w:tab w:val="left" w:pos="0"/>
          <w:tab w:val="left" w:pos="993"/>
        </w:tabs>
        <w:autoSpaceDE w:val="0"/>
        <w:autoSpaceDN w:val="0"/>
        <w:ind w:left="0" w:firstLine="142"/>
        <w:contextualSpacing w:val="0"/>
        <w:jc w:val="both"/>
        <w:rPr>
          <w:b/>
        </w:rPr>
      </w:pPr>
      <w:bookmarkStart w:id="5" w:name="_Ref361410951"/>
      <w:r w:rsidRPr="002D3AE7">
        <w:rPr>
          <w:bCs/>
        </w:rPr>
        <w:t xml:space="preserve">Подрядчик обязуется по заданию Заказчика </w:t>
      </w:r>
      <w:r w:rsidR="009058C4" w:rsidRPr="002D3AE7">
        <w:rPr>
          <w:bCs/>
        </w:rPr>
        <w:t xml:space="preserve">в соответствии с Техническим заданием (Приложение № 1 к Договору) </w:t>
      </w:r>
      <w:r w:rsidR="00AB7F51" w:rsidRPr="002D3AE7">
        <w:rPr>
          <w:bCs/>
        </w:rPr>
        <w:t xml:space="preserve">выполнить работы по </w:t>
      </w:r>
      <w:r w:rsidR="00FF200A" w:rsidRPr="002D3AE7">
        <w:rPr>
          <w:b/>
          <w:bCs/>
        </w:rPr>
        <w:t>«</w:t>
      </w:r>
      <w:r w:rsidR="001B1320" w:rsidRPr="001B1320">
        <w:rPr>
          <w:b/>
          <w:bCs/>
          <w:i/>
        </w:rPr>
        <w:t>Ч</w:t>
      </w:r>
      <w:r w:rsidR="001B1320" w:rsidRPr="001B1320">
        <w:rPr>
          <w:b/>
          <w:i/>
        </w:rPr>
        <w:t>истку просеки ВЛ 0,4-10-35-110кВ СП ПЗЭС филиала ПЭС</w:t>
      </w:r>
      <w:r w:rsidR="00995D5B" w:rsidRPr="002D3AE7">
        <w:rPr>
          <w:b/>
        </w:rPr>
        <w:t xml:space="preserve">» </w:t>
      </w:r>
      <w:r w:rsidR="00226447" w:rsidRPr="002D3AE7">
        <w:rPr>
          <w:bCs/>
        </w:rPr>
        <w:t xml:space="preserve">(далее </w:t>
      </w:r>
      <w:r w:rsidR="00F01BED" w:rsidRPr="002D3AE7">
        <w:rPr>
          <w:bCs/>
        </w:rPr>
        <w:t xml:space="preserve">по тексту </w:t>
      </w:r>
      <w:r w:rsidR="00226447" w:rsidRPr="002D3AE7">
        <w:rPr>
          <w:bCs/>
        </w:rPr>
        <w:t>–</w:t>
      </w:r>
      <w:r w:rsidR="00254121" w:rsidRPr="002D3AE7">
        <w:rPr>
          <w:bCs/>
        </w:rPr>
        <w:t xml:space="preserve"> </w:t>
      </w:r>
      <w:r w:rsidR="002E0762" w:rsidRPr="002D3AE7">
        <w:rPr>
          <w:bCs/>
        </w:rPr>
        <w:t>«</w:t>
      </w:r>
      <w:r w:rsidR="00A2715B" w:rsidRPr="002D3AE7">
        <w:rPr>
          <w:bCs/>
        </w:rPr>
        <w:t>Работы</w:t>
      </w:r>
      <w:r w:rsidR="002E0762" w:rsidRPr="002D3AE7">
        <w:rPr>
          <w:bCs/>
        </w:rPr>
        <w:t>»</w:t>
      </w:r>
      <w:r w:rsidR="00226447" w:rsidRPr="002D3AE7">
        <w:rPr>
          <w:bCs/>
        </w:rPr>
        <w:t>)</w:t>
      </w:r>
      <w:r w:rsidR="00573B89" w:rsidRPr="002D3AE7">
        <w:rPr>
          <w:bCs/>
        </w:rPr>
        <w:t>,</w:t>
      </w:r>
      <w:r w:rsidR="009058C4" w:rsidRPr="002D3AE7">
        <w:rPr>
          <w:bCs/>
        </w:rPr>
        <w:t xml:space="preserve"> </w:t>
      </w:r>
      <w:r w:rsidR="0020436F" w:rsidRPr="002D3AE7">
        <w:rPr>
          <w:bCs/>
        </w:rPr>
        <w:t xml:space="preserve">а также </w:t>
      </w:r>
      <w:r w:rsidR="009058C4" w:rsidRPr="002D3AE7">
        <w:rPr>
          <w:bCs/>
        </w:rPr>
        <w:t xml:space="preserve">сдать </w:t>
      </w:r>
      <w:r w:rsidR="00BD311A" w:rsidRPr="002D3AE7">
        <w:rPr>
          <w:bCs/>
        </w:rPr>
        <w:t>Р</w:t>
      </w:r>
      <w:r w:rsidR="009058C4" w:rsidRPr="002D3AE7">
        <w:rPr>
          <w:bCs/>
        </w:rPr>
        <w:t xml:space="preserve">езультат </w:t>
      </w:r>
      <w:r w:rsidR="00BD311A" w:rsidRPr="002D3AE7">
        <w:rPr>
          <w:bCs/>
        </w:rPr>
        <w:t xml:space="preserve">Работ </w:t>
      </w:r>
      <w:r w:rsidR="009058C4" w:rsidRPr="002D3AE7">
        <w:rPr>
          <w:bCs/>
        </w:rPr>
        <w:t xml:space="preserve">Заказчику, а </w:t>
      </w:r>
      <w:r w:rsidR="00C94C81" w:rsidRPr="002D3AE7">
        <w:rPr>
          <w:bCs/>
        </w:rPr>
        <w:t xml:space="preserve">Заказчик обязуется создать Подрядчику указанные в Договоре условия для выполнения Работ, принять </w:t>
      </w:r>
      <w:r w:rsidR="00191916" w:rsidRPr="002D3AE7">
        <w:rPr>
          <w:bCs/>
        </w:rPr>
        <w:t>Р</w:t>
      </w:r>
      <w:r w:rsidR="00C94C81" w:rsidRPr="002D3AE7">
        <w:rPr>
          <w:bCs/>
        </w:rPr>
        <w:t>езультат</w:t>
      </w:r>
      <w:r w:rsidR="007A0BA9" w:rsidRPr="002D3AE7">
        <w:rPr>
          <w:bCs/>
        </w:rPr>
        <w:t xml:space="preserve"> Работ</w:t>
      </w:r>
      <w:r w:rsidR="00C94C81" w:rsidRPr="002D3AE7">
        <w:rPr>
          <w:bCs/>
        </w:rPr>
        <w:t xml:space="preserve"> и уплатить </w:t>
      </w:r>
      <w:r w:rsidR="00BD311A" w:rsidRPr="002D3AE7">
        <w:rPr>
          <w:bCs/>
        </w:rPr>
        <w:t>Цену Договора</w:t>
      </w:r>
      <w:r w:rsidR="00020455" w:rsidRPr="002D3AE7">
        <w:rPr>
          <w:bCs/>
        </w:rPr>
        <w:t>.</w:t>
      </w:r>
      <w:bookmarkEnd w:id="5"/>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6" w:name="_Ref361320424"/>
      <w:r w:rsidR="006535A3" w:rsidRPr="00F855AA">
        <w:rPr>
          <w:bCs/>
        </w:rPr>
        <w:t xml:space="preserve"> </w:t>
      </w:r>
    </w:p>
    <w:p w:rsidR="001B1320" w:rsidRPr="001B1320" w:rsidRDefault="001B1320" w:rsidP="001B1320">
      <w:pPr>
        <w:pStyle w:val="af"/>
        <w:ind w:left="0" w:firstLine="709"/>
        <w:jc w:val="both"/>
        <w:outlineLvl w:val="0"/>
        <w:rPr>
          <w:rFonts w:ascii="Arial" w:hAnsi="Arial" w:cs="Arial"/>
          <w:color w:val="413003"/>
        </w:rPr>
      </w:pPr>
      <w:r w:rsidRPr="001B1320">
        <w:t>1.4.1.</w:t>
      </w:r>
      <w:r w:rsidRPr="001B1320">
        <w:rPr>
          <w:b/>
        </w:rPr>
        <w:t xml:space="preserve"> </w:t>
      </w:r>
      <w:r w:rsidRPr="001B1320">
        <w:t>Капитальный ремонт</w:t>
      </w:r>
      <w:r w:rsidRPr="001B1320">
        <w:rPr>
          <w:b/>
        </w:rPr>
        <w:t xml:space="preserve"> ВЛ-110кВ ЛуТЭК-Разрез-Надаровская-Игнатьевка – общей протяженностью 24,2 км, (</w:t>
      </w:r>
      <w:r w:rsidRPr="001B1320">
        <w:rPr>
          <w:bCs/>
        </w:rPr>
        <w:t xml:space="preserve">наименование основных средств </w:t>
      </w:r>
      <w:r w:rsidRPr="001B1320">
        <w:rPr>
          <w:b/>
          <w:bCs/>
        </w:rPr>
        <w:t>ВЛ-110 ГРЭС-РАЗР-НАД24,2 инв.№ PR0012772</w:t>
      </w:r>
      <w:r w:rsidRPr="001B1320">
        <w:rPr>
          <w:bCs/>
        </w:rPr>
        <w:t>)</w:t>
      </w:r>
      <w:r w:rsidRPr="001B1320">
        <w:rPr>
          <w:b/>
          <w:bCs/>
        </w:rPr>
        <w:t xml:space="preserve"> </w:t>
      </w:r>
      <w:r w:rsidRPr="001B1320">
        <w:t xml:space="preserve">проходит по территории Пожарского района Приморского края. </w:t>
      </w:r>
    </w:p>
    <w:p w:rsidR="001B1320" w:rsidRPr="001B1320" w:rsidRDefault="001B1320" w:rsidP="001B1320">
      <w:pPr>
        <w:pStyle w:val="af"/>
        <w:ind w:left="0" w:firstLine="709"/>
        <w:jc w:val="both"/>
        <w:outlineLvl w:val="0"/>
        <w:rPr>
          <w:rFonts w:ascii="Arial" w:hAnsi="Arial" w:cs="Arial"/>
          <w:color w:val="413003"/>
        </w:rPr>
      </w:pPr>
      <w:r w:rsidRPr="001B1320">
        <w:t>1.4.2.</w:t>
      </w:r>
      <w:r w:rsidRPr="001B1320">
        <w:rPr>
          <w:b/>
        </w:rPr>
        <w:t xml:space="preserve"> </w:t>
      </w:r>
      <w:r w:rsidRPr="001B1320">
        <w:t>Капитальный ремонт</w:t>
      </w:r>
      <w:r w:rsidRPr="001B1320">
        <w:rPr>
          <w:b/>
        </w:rPr>
        <w:t xml:space="preserve"> ВЛ-110 кВ И-Новопокровка </w:t>
      </w:r>
      <w:r w:rsidRPr="001B1320">
        <w:t>- общей протяженностью 80 км,</w:t>
      </w:r>
      <w:r w:rsidRPr="001B1320">
        <w:rPr>
          <w:b/>
        </w:rPr>
        <w:t xml:space="preserve"> (</w:t>
      </w:r>
      <w:r w:rsidRPr="001B1320">
        <w:rPr>
          <w:bCs/>
        </w:rPr>
        <w:t xml:space="preserve">наименование основных средств </w:t>
      </w:r>
      <w:r w:rsidRPr="001B1320">
        <w:rPr>
          <w:b/>
          <w:bCs/>
        </w:rPr>
        <w:t>ВЛ-110 ДАЛЬН Н.ПОКР.60.00 инв.№PR0012773</w:t>
      </w:r>
      <w:r w:rsidRPr="001B1320">
        <w:rPr>
          <w:bCs/>
        </w:rPr>
        <w:t>)</w:t>
      </w:r>
      <w:r w:rsidRPr="001B1320">
        <w:rPr>
          <w:b/>
          <w:bCs/>
        </w:rPr>
        <w:t xml:space="preserve"> </w:t>
      </w:r>
      <w:r w:rsidRPr="001B1320">
        <w:t xml:space="preserve">проходит по территории Дальнереченского района Приморского края. </w:t>
      </w:r>
    </w:p>
    <w:p w:rsidR="001B1320" w:rsidRPr="001B1320" w:rsidRDefault="001B1320" w:rsidP="001B1320">
      <w:pPr>
        <w:pStyle w:val="af"/>
        <w:ind w:left="0" w:firstLine="709"/>
        <w:jc w:val="both"/>
      </w:pPr>
      <w:r w:rsidRPr="001B1320">
        <w:t>1.4.3. Капитальный ремонт</w:t>
      </w:r>
      <w:r w:rsidRPr="001B1320">
        <w:rPr>
          <w:b/>
        </w:rPr>
        <w:t xml:space="preserve"> ВЛ-35 кВ</w:t>
      </w:r>
      <w:r w:rsidRPr="001B1320">
        <w:t xml:space="preserve"> </w:t>
      </w:r>
      <w:r w:rsidRPr="001B1320">
        <w:rPr>
          <w:b/>
        </w:rPr>
        <w:t>Кировка-Уссури</w:t>
      </w:r>
      <w:r w:rsidRPr="001B1320">
        <w:t xml:space="preserve">-общей протяженностью 27,65км, (наименование основных </w:t>
      </w:r>
      <w:r w:rsidRPr="001B1320">
        <w:rPr>
          <w:b/>
        </w:rPr>
        <w:t>ВЛ-110 КИРОВ. -УССУР.27.65 PR0012774</w:t>
      </w:r>
      <w:r w:rsidRPr="001B1320">
        <w:t>). проходит по территории Лесозаводского района Приморского края.</w:t>
      </w:r>
    </w:p>
    <w:p w:rsidR="001B1320" w:rsidRPr="001B1320" w:rsidRDefault="001B1320" w:rsidP="001B1320">
      <w:pPr>
        <w:pStyle w:val="af"/>
        <w:ind w:left="0" w:firstLine="709"/>
        <w:jc w:val="both"/>
      </w:pPr>
      <w:r w:rsidRPr="001B1320">
        <w:lastRenderedPageBreak/>
        <w:t xml:space="preserve">1.4.4. Капитальный ремонт </w:t>
      </w:r>
      <w:r w:rsidRPr="001B1320">
        <w:rPr>
          <w:b/>
        </w:rPr>
        <w:t>ВЛ-35 кВ Рождественка-Пантелеймоновка</w:t>
      </w:r>
      <w:r w:rsidRPr="001B1320">
        <w:t xml:space="preserve"> -общей протяженностью 25,34 км, (наименование основных средств </w:t>
      </w:r>
      <w:r w:rsidRPr="001B1320">
        <w:rPr>
          <w:b/>
        </w:rPr>
        <w:t>ВЛ-35 РОЖДЕС. -НЕВСК.25.34 инв.№PR0012808</w:t>
      </w:r>
      <w:r w:rsidRPr="001B1320">
        <w:t>). проходит по территории Лесозаводского района Приморского края.</w:t>
      </w:r>
    </w:p>
    <w:p w:rsidR="001B1320" w:rsidRPr="001B1320" w:rsidRDefault="001B1320" w:rsidP="001B1320">
      <w:pPr>
        <w:pStyle w:val="af"/>
        <w:ind w:left="0" w:firstLine="709"/>
        <w:jc w:val="both"/>
        <w:rPr>
          <w:b/>
        </w:rPr>
      </w:pPr>
      <w:r w:rsidRPr="001B1320">
        <w:t>1.4.5. Капитальный ремонт</w:t>
      </w:r>
      <w:r w:rsidRPr="001B1320">
        <w:tab/>
        <w:t xml:space="preserve"> </w:t>
      </w:r>
      <w:r w:rsidRPr="001B1320">
        <w:rPr>
          <w:b/>
        </w:rPr>
        <w:t>ВЛ 35 кВ Лучегорск-Игнатьевква-Пожарское</w:t>
      </w:r>
      <w:r w:rsidRPr="001B1320">
        <w:t xml:space="preserve"> -общей протяженностью 37,245 км, (наименование основных </w:t>
      </w:r>
      <w:r w:rsidRPr="001B1320">
        <w:rPr>
          <w:b/>
        </w:rPr>
        <w:t>ВЛ-35 ЛУЧ. -ПОЖ.31.245 КМ PR0012798</w:t>
      </w:r>
      <w:r w:rsidRPr="001B1320">
        <w:t>). проходит по территории Пожарского района Приморского края.</w:t>
      </w:r>
    </w:p>
    <w:p w:rsidR="001B1320" w:rsidRPr="001B1320" w:rsidRDefault="001B1320" w:rsidP="001B1320">
      <w:pPr>
        <w:spacing w:line="240" w:lineRule="auto"/>
        <w:ind w:firstLine="709"/>
        <w:rPr>
          <w:sz w:val="24"/>
          <w:szCs w:val="24"/>
        </w:rPr>
      </w:pPr>
      <w:r w:rsidRPr="001B1320">
        <w:rPr>
          <w:sz w:val="24"/>
          <w:szCs w:val="24"/>
        </w:rPr>
        <w:t xml:space="preserve">  1.4.6. Капитальный ремонт </w:t>
      </w:r>
      <w:r w:rsidRPr="001B1320">
        <w:rPr>
          <w:b/>
          <w:sz w:val="24"/>
          <w:szCs w:val="24"/>
        </w:rPr>
        <w:t>ВЛ 35 кВ Пожарское -Губерово</w:t>
      </w:r>
      <w:r w:rsidRPr="001B1320">
        <w:rPr>
          <w:sz w:val="24"/>
          <w:szCs w:val="24"/>
        </w:rPr>
        <w:t xml:space="preserve"> - общей протяженностью 14,95 км, (наименование основных средств </w:t>
      </w:r>
      <w:r w:rsidRPr="001B1320">
        <w:rPr>
          <w:b/>
          <w:sz w:val="24"/>
          <w:szCs w:val="24"/>
        </w:rPr>
        <w:t>ВЛ-35 ПОЖ. -ГУБ. 14.95 КМ инв № PR0012806</w:t>
      </w:r>
      <w:r w:rsidRPr="001B1320">
        <w:rPr>
          <w:sz w:val="24"/>
          <w:szCs w:val="24"/>
        </w:rPr>
        <w:t xml:space="preserve">) проходит по территории Пожарского района Приморского края.      </w:t>
      </w:r>
    </w:p>
    <w:p w:rsidR="001B1320" w:rsidRPr="001B1320" w:rsidRDefault="001B1320" w:rsidP="001B1320">
      <w:pPr>
        <w:spacing w:line="240" w:lineRule="auto"/>
        <w:ind w:firstLine="709"/>
        <w:rPr>
          <w:sz w:val="24"/>
          <w:szCs w:val="24"/>
        </w:rPr>
      </w:pPr>
      <w:r w:rsidRPr="001B1320">
        <w:rPr>
          <w:sz w:val="24"/>
          <w:szCs w:val="24"/>
        </w:rPr>
        <w:t xml:space="preserve">1.4.7. Капитальный ремонт </w:t>
      </w:r>
      <w:r w:rsidRPr="001B1320">
        <w:rPr>
          <w:b/>
          <w:sz w:val="24"/>
          <w:szCs w:val="24"/>
        </w:rPr>
        <w:t xml:space="preserve">ВЛ 10 кВ Ф-6 Игнатьевка-Емельяновка-Погранзастава </w:t>
      </w:r>
      <w:r w:rsidRPr="001B1320">
        <w:rPr>
          <w:sz w:val="24"/>
          <w:szCs w:val="24"/>
        </w:rPr>
        <w:t xml:space="preserve">- общей протяженностью 33,731 км, (наименование основных средств </w:t>
      </w:r>
      <w:r w:rsidRPr="001B1320">
        <w:rPr>
          <w:b/>
          <w:sz w:val="24"/>
          <w:szCs w:val="24"/>
        </w:rPr>
        <w:t xml:space="preserve">ВЛ-10 ИГН-ЕМЕЛ-ПЗ Ф6 22,9 инв.№PR0012589) </w:t>
      </w:r>
      <w:r w:rsidRPr="001B1320">
        <w:rPr>
          <w:sz w:val="24"/>
          <w:szCs w:val="24"/>
        </w:rPr>
        <w:t xml:space="preserve">проходит по территории Пожарского района Приморского края. </w:t>
      </w:r>
    </w:p>
    <w:p w:rsidR="001B1320" w:rsidRPr="001B1320" w:rsidRDefault="001B1320" w:rsidP="001B1320">
      <w:pPr>
        <w:pStyle w:val="af"/>
        <w:ind w:left="0" w:firstLine="709"/>
        <w:jc w:val="both"/>
      </w:pPr>
      <w:r w:rsidRPr="001B1320">
        <w:t xml:space="preserve"> 1.4.8. Капитальный ремонт </w:t>
      </w:r>
      <w:r w:rsidRPr="001B1320">
        <w:rPr>
          <w:b/>
        </w:rPr>
        <w:t xml:space="preserve">ВЛ 10 кВ Ф-5 Чкаловка - Васильковка </w:t>
      </w:r>
      <w:r w:rsidRPr="001B1320">
        <w:t xml:space="preserve">- общей протяженностью 45,634 км, (наименование основных средств </w:t>
      </w:r>
      <w:r w:rsidRPr="001B1320">
        <w:rPr>
          <w:b/>
        </w:rPr>
        <w:t xml:space="preserve">ВЛ-10 Ф№5 "Чкаловка-Васильковка" инв. №PR0012756) </w:t>
      </w:r>
      <w:r w:rsidRPr="001B1320">
        <w:t xml:space="preserve">проходит по территории Спасского района Приморского края. </w:t>
      </w:r>
    </w:p>
    <w:p w:rsidR="001B1320" w:rsidRPr="001B1320" w:rsidRDefault="001B1320" w:rsidP="001B1320">
      <w:pPr>
        <w:pStyle w:val="af"/>
        <w:ind w:left="0" w:firstLine="709"/>
        <w:jc w:val="both"/>
      </w:pPr>
      <w:r w:rsidRPr="001B1320">
        <w:t xml:space="preserve">1.4.9. Капитальный ремонт </w:t>
      </w:r>
      <w:r w:rsidRPr="001B1320">
        <w:rPr>
          <w:b/>
        </w:rPr>
        <w:t xml:space="preserve">ВЛ 10 кВ Ф-1 Ракитное-Боголюбовка </w:t>
      </w:r>
      <w:r w:rsidRPr="001B1320">
        <w:t xml:space="preserve">- общей протяженностью 21,508 км, (наименование основных </w:t>
      </w:r>
      <w:r w:rsidRPr="001B1320">
        <w:rPr>
          <w:b/>
        </w:rPr>
        <w:t>ВЛ-10 РАК.ОРЕХ.БОГОЛ24.56 инв.№PR0012702</w:t>
      </w:r>
      <w:r w:rsidRPr="001B1320">
        <w:t>) проходит по территории Дальнереченского района Приморского края</w:t>
      </w:r>
    </w:p>
    <w:p w:rsidR="001B1320" w:rsidRPr="001B1320" w:rsidRDefault="001B1320" w:rsidP="001B1320">
      <w:pPr>
        <w:pStyle w:val="af"/>
        <w:ind w:left="0" w:firstLine="709"/>
        <w:jc w:val="both"/>
      </w:pPr>
      <w:r w:rsidRPr="001B1320">
        <w:t xml:space="preserve">1.4.10. Капитальный ремонт </w:t>
      </w:r>
      <w:r w:rsidRPr="001B1320">
        <w:rPr>
          <w:b/>
        </w:rPr>
        <w:t xml:space="preserve">ВЛ 10 кВ Ф-6 Пантелеймоновка-Ружино </w:t>
      </w:r>
      <w:r w:rsidRPr="001B1320">
        <w:t xml:space="preserve">- общей протяженностью 30,348 км, (наименование основных </w:t>
      </w:r>
      <w:r w:rsidRPr="001B1320">
        <w:rPr>
          <w:b/>
        </w:rPr>
        <w:t>ВЛ-10 ПАНТ. -РУЖИНО 25.221 инв.№ PR0012689</w:t>
      </w:r>
      <w:r w:rsidRPr="001B1320">
        <w:t>) проходит по территории Красноармейского района Приморского края</w:t>
      </w:r>
    </w:p>
    <w:p w:rsidR="001B1320" w:rsidRPr="001B1320" w:rsidRDefault="001B1320" w:rsidP="001B1320">
      <w:pPr>
        <w:pStyle w:val="af"/>
        <w:ind w:left="0" w:firstLine="709"/>
        <w:jc w:val="both"/>
      </w:pPr>
      <w:r w:rsidRPr="001B1320">
        <w:t xml:space="preserve">1.4.11. Капитальный ремонт </w:t>
      </w:r>
      <w:r w:rsidRPr="001B1320">
        <w:rPr>
          <w:b/>
        </w:rPr>
        <w:t xml:space="preserve">ВЛ 10 кВ Ф-8 Руновка-Степановка </w:t>
      </w:r>
      <w:r w:rsidRPr="001B1320">
        <w:t xml:space="preserve">- общей протя-женностью 16,934 км, (наименование основных </w:t>
      </w:r>
      <w:r w:rsidRPr="001B1320">
        <w:rPr>
          <w:b/>
        </w:rPr>
        <w:t>ВЛ-10 Рун-Степ-Афан 12.32                     PR0012717</w:t>
      </w:r>
      <w:r w:rsidRPr="001B1320">
        <w:t>) проходит по территории Кировского района Приморского края</w:t>
      </w:r>
    </w:p>
    <w:p w:rsidR="001B1320" w:rsidRPr="001B1320" w:rsidRDefault="001B1320" w:rsidP="001B1320">
      <w:pPr>
        <w:pStyle w:val="af"/>
        <w:ind w:left="0" w:firstLine="709"/>
        <w:jc w:val="both"/>
      </w:pPr>
      <w:r w:rsidRPr="001B1320">
        <w:t xml:space="preserve">1.4.12. Капитальный ремонт </w:t>
      </w:r>
      <w:r w:rsidRPr="001B1320">
        <w:rPr>
          <w:b/>
        </w:rPr>
        <w:t>ВЛ 10 кВ Ф-4 Заря-Кронштадтка</w:t>
      </w:r>
      <w:r w:rsidRPr="001B1320">
        <w:t xml:space="preserve"> - общей протяженностью 20,229км, (наименование основных </w:t>
      </w:r>
      <w:r w:rsidRPr="001B1320">
        <w:rPr>
          <w:b/>
        </w:rPr>
        <w:t>ВЛ-10 кВ 17 КМ инв.№PR0012352</w:t>
      </w:r>
      <w:r w:rsidRPr="001B1320">
        <w:t>) проходит по территории Красноармейского района Приморского края</w:t>
      </w:r>
    </w:p>
    <w:p w:rsidR="001B1320" w:rsidRPr="001B1320" w:rsidRDefault="001B1320" w:rsidP="001B1320">
      <w:pPr>
        <w:pStyle w:val="af"/>
        <w:ind w:left="0" w:firstLine="709"/>
        <w:jc w:val="both"/>
      </w:pPr>
      <w:r w:rsidRPr="001B1320">
        <w:t xml:space="preserve">1.4.13. Капитальный ремонт </w:t>
      </w:r>
      <w:r w:rsidRPr="001B1320">
        <w:rPr>
          <w:b/>
        </w:rPr>
        <w:t>ВЛ 0,4 кВ с. Донское</w:t>
      </w:r>
      <w:r w:rsidRPr="001B1320">
        <w:t xml:space="preserve"> - общей протяженностью 3,344км, (наименование основных </w:t>
      </w:r>
      <w:r w:rsidRPr="001B1320">
        <w:rPr>
          <w:b/>
        </w:rPr>
        <w:t xml:space="preserve">ВЛ-04 ДОНСКОЕ 6 КМ ИНВ.№PR0012378)    </w:t>
      </w:r>
      <w:r w:rsidRPr="001B1320">
        <w:t>проходит по территории Лесозаводского района Приморского края</w:t>
      </w:r>
    </w:p>
    <w:p w:rsidR="001B1320" w:rsidRPr="001B1320" w:rsidRDefault="001B1320" w:rsidP="001B1320">
      <w:pPr>
        <w:pStyle w:val="af"/>
        <w:ind w:left="0" w:firstLine="709"/>
        <w:jc w:val="both"/>
      </w:pPr>
      <w:r w:rsidRPr="001B1320">
        <w:t xml:space="preserve">1.4.14. Капитальный ремонт </w:t>
      </w:r>
      <w:r w:rsidRPr="001B1320">
        <w:rPr>
          <w:b/>
        </w:rPr>
        <w:t>ВЛ 0,4 кВ с. Марково</w:t>
      </w:r>
      <w:r w:rsidRPr="001B1320">
        <w:t xml:space="preserve"> - общей протяженностью 10,01км, (наименование основных </w:t>
      </w:r>
      <w:r w:rsidRPr="001B1320">
        <w:rPr>
          <w:b/>
        </w:rPr>
        <w:t>ВЛ-04 МАРКОВО 14 КМPR0012444</w:t>
      </w:r>
      <w:r w:rsidRPr="001B1320">
        <w:t>) проходит по территории Лесозаводского района Приморского края</w:t>
      </w:r>
    </w:p>
    <w:p w:rsidR="001B1320" w:rsidRPr="001B1320" w:rsidRDefault="001B1320" w:rsidP="001B1320">
      <w:pPr>
        <w:pStyle w:val="af"/>
        <w:ind w:left="0" w:firstLine="709"/>
        <w:jc w:val="both"/>
      </w:pPr>
      <w:r w:rsidRPr="001B1320">
        <w:t xml:space="preserve">1.4.15. Капитальный ремонт </w:t>
      </w:r>
      <w:r w:rsidRPr="001B1320">
        <w:rPr>
          <w:b/>
        </w:rPr>
        <w:t xml:space="preserve">ВЛ 0,4 кВ с. Нагорное </w:t>
      </w:r>
      <w:r w:rsidRPr="001B1320">
        <w:t xml:space="preserve">- общей протяженностью 13,829 км, (наименование основных </w:t>
      </w:r>
      <w:r w:rsidRPr="001B1320">
        <w:rPr>
          <w:b/>
        </w:rPr>
        <w:t>ВЛ-04 НАГОРНОЕ 15.660 инв.№ PR0012453</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1.4.16. Капитальный ремонт </w:t>
      </w:r>
      <w:r w:rsidRPr="001B1320">
        <w:rPr>
          <w:b/>
        </w:rPr>
        <w:t xml:space="preserve">ВЛ 0,4 кВ с. Игнатьевка </w:t>
      </w:r>
      <w:r w:rsidRPr="001B1320">
        <w:t xml:space="preserve">- общей протяженностью 8,492 км, (наименование основных </w:t>
      </w:r>
      <w:r w:rsidRPr="001B1320">
        <w:rPr>
          <w:b/>
        </w:rPr>
        <w:t>ВЛ-04 ИГНАТЬЕВКА 9.600 инв.№PR0012395</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1.4.17. Капитальный ремонт </w:t>
      </w:r>
      <w:r w:rsidRPr="001B1320">
        <w:rPr>
          <w:b/>
        </w:rPr>
        <w:t>ВЛ 0,4 кВ с. Знаменка</w:t>
      </w:r>
      <w:r w:rsidRPr="001B1320">
        <w:t xml:space="preserve"> - общей протяженностью 3,962 км, (наименование основных </w:t>
      </w:r>
      <w:r w:rsidRPr="001B1320">
        <w:rPr>
          <w:b/>
        </w:rPr>
        <w:t>ВЛ-04 ЗНАМЕНКА   9.500 инв.№PR0012394</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1.4.18. Капитальный ремонт </w:t>
      </w:r>
      <w:r w:rsidRPr="001B1320">
        <w:rPr>
          <w:b/>
        </w:rPr>
        <w:t>ВЛ 0,4 кВ пгт.Лучегорск</w:t>
      </w:r>
      <w:r w:rsidRPr="001B1320">
        <w:t xml:space="preserve"> - общей протяженностью 25,315 км, (наименование основных </w:t>
      </w:r>
      <w:r w:rsidRPr="001B1320">
        <w:rPr>
          <w:b/>
        </w:rPr>
        <w:t>ВЛ-04 ВРЕМ.ПОСЕЛОК   8.90 инв.№R001236</w:t>
      </w:r>
      <w:r w:rsidRPr="001B1320">
        <w:t>) проходит по территории Пожарского района Приморского края</w:t>
      </w:r>
    </w:p>
    <w:p w:rsidR="001B1320" w:rsidRPr="001B1320" w:rsidRDefault="001B1320" w:rsidP="001B1320">
      <w:pPr>
        <w:pStyle w:val="af"/>
        <w:ind w:left="0" w:firstLine="709"/>
        <w:jc w:val="both"/>
      </w:pPr>
      <w:r w:rsidRPr="001B1320">
        <w:t xml:space="preserve">1.4.19. Капитальный ремонт </w:t>
      </w:r>
      <w:r w:rsidRPr="001B1320">
        <w:rPr>
          <w:b/>
        </w:rPr>
        <w:t>ВЛ 0,4 кВ Ариадное</w:t>
      </w:r>
      <w:r w:rsidRPr="001B1320">
        <w:t xml:space="preserve"> - общей протяженностью 6,071 км, (наименование основных </w:t>
      </w:r>
      <w:r w:rsidRPr="001B1320">
        <w:rPr>
          <w:b/>
        </w:rPr>
        <w:t xml:space="preserve">ВЛ-04 МАЛИНОВО-АРИАД.6,20 инв.№PR001244)         </w:t>
      </w:r>
      <w:r w:rsidRPr="001B1320">
        <w:t xml:space="preserve"> проходит по территории Дальнереченского района Приморского края</w:t>
      </w:r>
    </w:p>
    <w:p w:rsidR="001B1320" w:rsidRPr="001B1320" w:rsidRDefault="001B1320" w:rsidP="001B1320">
      <w:pPr>
        <w:pStyle w:val="af"/>
        <w:ind w:left="0" w:firstLine="709"/>
        <w:jc w:val="both"/>
      </w:pPr>
      <w:r w:rsidRPr="001B1320">
        <w:t xml:space="preserve">1.4.20. Капитальный ремонт </w:t>
      </w:r>
      <w:r w:rsidRPr="001B1320">
        <w:rPr>
          <w:b/>
        </w:rPr>
        <w:t>ВЛ 0,4 кВ ПОЖИГА</w:t>
      </w:r>
      <w:r w:rsidRPr="001B1320">
        <w:t xml:space="preserve"> - общей протяженностью 7,26 км, (наименование основных </w:t>
      </w:r>
      <w:r w:rsidRPr="001B1320">
        <w:rPr>
          <w:b/>
        </w:rPr>
        <w:t xml:space="preserve">ВЛ-04 ПОЖИГА     ДЕР.7.90 инв.№PR0012483) </w:t>
      </w:r>
      <w:r w:rsidRPr="001B1320">
        <w:t>проходит по территории Дальнереченского района Приморского края</w:t>
      </w:r>
    </w:p>
    <w:p w:rsidR="001B1320" w:rsidRPr="001B1320" w:rsidRDefault="001B1320" w:rsidP="001B1320">
      <w:pPr>
        <w:pStyle w:val="af"/>
        <w:ind w:left="0" w:firstLine="709"/>
        <w:jc w:val="both"/>
        <w:rPr>
          <w:b/>
        </w:rPr>
      </w:pPr>
      <w:r w:rsidRPr="001B1320">
        <w:lastRenderedPageBreak/>
        <w:t xml:space="preserve">1.4.21. Капитальный ремонт </w:t>
      </w:r>
      <w:r w:rsidRPr="001B1320">
        <w:rPr>
          <w:b/>
        </w:rPr>
        <w:t>ВЛ 0,4 кВ Междуречье</w:t>
      </w:r>
      <w:r w:rsidRPr="001B1320">
        <w:t xml:space="preserve"> - общей протяженностью 9,086 км, (наименование основных </w:t>
      </w:r>
      <w:r w:rsidRPr="001B1320">
        <w:rPr>
          <w:b/>
        </w:rPr>
        <w:t xml:space="preserve">ВЛ-04 ПЧЕЛОСОВХОЗ 11.575 инв № PR0012489) </w:t>
      </w:r>
      <w:r w:rsidRPr="001B1320">
        <w:t>проходит по территории Дальнереченского района Приморского края</w:t>
      </w:r>
    </w:p>
    <w:p w:rsidR="007C0C89" w:rsidRPr="00700B34" w:rsidRDefault="007C0C89" w:rsidP="00BC31B4">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6"/>
    </w:p>
    <w:p w:rsidR="008C44B5" w:rsidRDefault="008C44B5" w:rsidP="00BC31B4">
      <w:pPr>
        <w:pStyle w:val="af"/>
        <w:shd w:val="clear" w:color="auto" w:fill="FFFFFF"/>
        <w:tabs>
          <w:tab w:val="left" w:pos="1134"/>
        </w:tabs>
        <w:ind w:left="573"/>
        <w:rPr>
          <w:bCs/>
        </w:rPr>
      </w:pPr>
      <w:r w:rsidRPr="008C44B5">
        <w:rPr>
          <w:bCs/>
        </w:rPr>
        <w:t xml:space="preserve">Начало работ: </w:t>
      </w:r>
      <w:r w:rsidR="004A0C06" w:rsidRPr="004A0C06">
        <w:rPr>
          <w:bCs/>
        </w:rPr>
        <w:t xml:space="preserve">с момента заключения договора, </w:t>
      </w:r>
      <w:r w:rsidR="00C34BAA">
        <w:rPr>
          <w:bCs/>
        </w:rPr>
        <w:t>о</w:t>
      </w:r>
      <w:r w:rsidR="004A0C06" w:rsidRPr="004A0C06">
        <w:rPr>
          <w:bCs/>
        </w:rPr>
        <w:t xml:space="preserve">кончание работ – </w:t>
      </w:r>
      <w:r w:rsidR="004A0C06">
        <w:rPr>
          <w:bCs/>
        </w:rPr>
        <w:t>31 декабря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lastRenderedPageBreak/>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lastRenderedPageBreak/>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lastRenderedPageBreak/>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lastRenderedPageBreak/>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lastRenderedPageBreak/>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lastRenderedPageBreak/>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lastRenderedPageBreak/>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lastRenderedPageBreak/>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lastRenderedPageBreak/>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w:t>
      </w:r>
      <w:r w:rsidRPr="00800F41">
        <w:rPr>
          <w:bCs/>
        </w:rPr>
        <w:lastRenderedPageBreak/>
        <w:t xml:space="preserve">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lastRenderedPageBreak/>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lastRenderedPageBreak/>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lastRenderedPageBreak/>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lastRenderedPageBreak/>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lastRenderedPageBreak/>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lastRenderedPageBreak/>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B3B" w:rsidRDefault="006C4B3B">
      <w:r>
        <w:separator/>
      </w:r>
    </w:p>
  </w:endnote>
  <w:endnote w:type="continuationSeparator" w:id="0">
    <w:p w:rsidR="006C4B3B" w:rsidRDefault="006C4B3B">
      <w:r>
        <w:continuationSeparator/>
      </w:r>
    </w:p>
  </w:endnote>
  <w:endnote w:type="continuationNotice" w:id="1">
    <w:p w:rsidR="006C4B3B" w:rsidRDefault="006C4B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B3B" w:rsidRDefault="006C4B3B">
      <w:r>
        <w:separator/>
      </w:r>
    </w:p>
  </w:footnote>
  <w:footnote w:type="continuationSeparator" w:id="0">
    <w:p w:rsidR="006C4B3B" w:rsidRDefault="006C4B3B">
      <w:r>
        <w:continuationSeparator/>
      </w:r>
    </w:p>
  </w:footnote>
  <w:footnote w:type="continuationNotice" w:id="1">
    <w:p w:rsidR="006C4B3B" w:rsidRDefault="006C4B3B">
      <w:pPr>
        <w:spacing w:line="240" w:lineRule="auto"/>
      </w:pPr>
    </w:p>
  </w:footnote>
  <w:footnote w:id="2">
    <w:p w:rsidR="006907CF" w:rsidRDefault="006907CF"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6907CF" w:rsidRDefault="006907CF"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3"/>
  </w:num>
  <w:num w:numId="3">
    <w:abstractNumId w:val="18"/>
  </w:num>
  <w:num w:numId="4">
    <w:abstractNumId w:val="11"/>
  </w:num>
  <w:num w:numId="5">
    <w:abstractNumId w:val="3"/>
  </w:num>
  <w:num w:numId="6">
    <w:abstractNumId w:val="2"/>
  </w:num>
  <w:num w:numId="7">
    <w:abstractNumId w:val="1"/>
  </w:num>
  <w:num w:numId="8">
    <w:abstractNumId w:val="8"/>
  </w:num>
  <w:num w:numId="9">
    <w:abstractNumId w:val="10"/>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24"/>
  </w:num>
  <w:num w:numId="2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320"/>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0C06"/>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969"/>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B3B"/>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BAA"/>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1C2D"/>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7B53C-696D-4EA2-986D-0C1682BBD27F}">
  <ds:schemaRefs>
    <ds:schemaRef ds:uri="http://schemas.openxmlformats.org/officeDocument/2006/bibliography"/>
  </ds:schemaRefs>
</ds:datastoreItem>
</file>

<file path=customXml/itemProps2.xml><?xml version="1.0" encoding="utf-8"?>
<ds:datastoreItem xmlns:ds="http://schemas.openxmlformats.org/officeDocument/2006/customXml" ds:itemID="{A285F83C-D76C-455D-BF41-E1ECFE72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14782</Words>
  <Characters>84264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98849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2020-07-12T22:33:00Z</cp:lastPrinted>
  <dcterms:created xsi:type="dcterms:W3CDTF">2021-04-02T07:45:00Z</dcterms:created>
  <dcterms:modified xsi:type="dcterms:W3CDTF">2021-04-02T07:45:00Z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