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8C0486" w:rsidP="00FF25CB">
      <w:pPr>
        <w:spacing w:before="0"/>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Pr>
          <w:sz w:val="24"/>
          <w:szCs w:val="24"/>
        </w:rPr>
        <w:t xml:space="preserve"> </w:t>
      </w:r>
      <w:r w:rsidR="00FF25CB" w:rsidRPr="00C677BC">
        <w:rPr>
          <w:sz w:val="24"/>
          <w:szCs w:val="24"/>
        </w:rPr>
        <w:t>закупочной комиссии</w:t>
      </w:r>
      <w:r w:rsidR="00FF25CB">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8C0486">
        <w:rPr>
          <w:sz w:val="24"/>
          <w:szCs w:val="24"/>
        </w:rPr>
        <w:t>С.А.Коржов</w:t>
      </w:r>
    </w:p>
    <w:p w:rsidR="00FF25CB" w:rsidRPr="00C677BC" w:rsidRDefault="00FF25CB" w:rsidP="00D42DC7">
      <w:pPr>
        <w:spacing w:before="0"/>
        <w:ind w:left="5811" w:hanging="11"/>
        <w:rPr>
          <w:sz w:val="24"/>
          <w:szCs w:val="24"/>
        </w:rPr>
      </w:pPr>
      <w:r>
        <w:rPr>
          <w:sz w:val="24"/>
          <w:szCs w:val="24"/>
        </w:rPr>
        <w:t xml:space="preserve"> </w:t>
      </w:r>
      <w:r w:rsidR="00DB5B95">
        <w:rPr>
          <w:sz w:val="24"/>
          <w:szCs w:val="24"/>
        </w:rPr>
        <w:t xml:space="preserve"> «0</w:t>
      </w:r>
      <w:r w:rsidR="008C0486">
        <w:rPr>
          <w:sz w:val="24"/>
          <w:szCs w:val="24"/>
        </w:rPr>
        <w:t>5</w:t>
      </w:r>
      <w:r w:rsidR="00D42DC7" w:rsidRPr="00C677BC">
        <w:rPr>
          <w:sz w:val="24"/>
          <w:szCs w:val="24"/>
        </w:rPr>
        <w:t xml:space="preserve">» </w:t>
      </w:r>
      <w:r w:rsidR="00DB5B95">
        <w:rPr>
          <w:sz w:val="24"/>
          <w:szCs w:val="24"/>
        </w:rPr>
        <w:t xml:space="preserve">апреля </w:t>
      </w:r>
      <w:r w:rsidR="00D42DC7">
        <w:rPr>
          <w:sz w:val="24"/>
          <w:szCs w:val="24"/>
        </w:rPr>
        <w:t>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DB5B95" w:rsidP="00FF25CB">
      <w:pPr>
        <w:spacing w:before="0"/>
        <w:jc w:val="center"/>
        <w:rPr>
          <w:b/>
          <w:sz w:val="36"/>
          <w:szCs w:val="36"/>
        </w:rPr>
      </w:pPr>
      <w:r>
        <w:rPr>
          <w:b/>
        </w:rPr>
        <w:t>№ 444</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02 апреля</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 xml:space="preserve">Предмет Договора и </w:t>
            </w:r>
            <w:r w:rsidRPr="00DB7BCB">
              <w:lastRenderedPageBreak/>
              <w:t>номер лота</w:t>
            </w:r>
          </w:p>
        </w:tc>
        <w:tc>
          <w:tcPr>
            <w:tcW w:w="6662" w:type="dxa"/>
          </w:tcPr>
          <w:p w:rsidR="00FF25CB" w:rsidRPr="0003355D" w:rsidRDefault="00FF25CB" w:rsidP="00FF25CB">
            <w:pPr>
              <w:widowControl w:val="0"/>
              <w:spacing w:after="120"/>
              <w:rPr>
                <w:b/>
              </w:rPr>
            </w:pPr>
            <w:r w:rsidRPr="00D7177A">
              <w:lastRenderedPageBreak/>
              <w:t xml:space="preserve">Лот № </w:t>
            </w:r>
            <w:r w:rsidR="008C0486" w:rsidRPr="008C0486">
              <w:rPr>
                <w:b/>
              </w:rPr>
              <w:t>305901-РЕМ ПРОД-2021-ДРСК</w:t>
            </w:r>
            <w:r w:rsidR="00DB5B95">
              <w:rPr>
                <w:b/>
              </w:rPr>
              <w:t xml:space="preserve"> повторно</w:t>
            </w:r>
            <w:r w:rsidRPr="00D7177A">
              <w:t xml:space="preserve">: право  </w:t>
            </w:r>
            <w:r w:rsidRPr="00D7177A">
              <w:lastRenderedPageBreak/>
              <w:t xml:space="preserve">заключения договора на выполнение работ </w:t>
            </w:r>
            <w:r w:rsidR="008C0486" w:rsidRPr="008C0486">
              <w:rPr>
                <w:b/>
              </w:rPr>
              <w:t>Чистка просеки ВЛ 0,4-10-35-110кВ СП ПЗЭС филиала ПЭС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8C048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8C0486" w:rsidRPr="008C0486">
              <w:rPr>
                <w:rFonts w:ascii="Times New Roman" w:eastAsia="Times New Roman" w:hAnsi="Times New Roman"/>
                <w:b/>
                <w:noProof w:val="0"/>
                <w:snapToGrid w:val="0"/>
                <w:sz w:val="26"/>
                <w:lang w:eastAsia="ru-RU"/>
              </w:rPr>
              <w:t>5</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303</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869,92</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DB5B95" w:rsidP="00D42DC7">
            <w:pPr>
              <w:widowControl w:val="0"/>
              <w:spacing w:after="120"/>
              <w:rPr>
                <w:b/>
              </w:rPr>
            </w:pPr>
            <w:r>
              <w:rPr>
                <w:b/>
              </w:rPr>
              <w:t>«0</w:t>
            </w:r>
            <w:r w:rsidR="008C0486">
              <w:rPr>
                <w:b/>
              </w:rPr>
              <w:t xml:space="preserve">5» </w:t>
            </w:r>
            <w:r>
              <w:rPr>
                <w:b/>
              </w:rPr>
              <w:t>апреля</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DB5B95" w:rsidP="00DB5B95">
            <w:pPr>
              <w:pStyle w:val="Tableheader"/>
              <w:widowControl w:val="0"/>
              <w:rPr>
                <w:rFonts w:eastAsia="Lucida Sans Unicode"/>
                <w:b w:val="0"/>
                <w:i/>
                <w:kern w:val="1"/>
                <w:sz w:val="26"/>
                <w:szCs w:val="26"/>
                <w:shd w:val="clear" w:color="auto" w:fill="FFFF99"/>
              </w:rPr>
            </w:pPr>
            <w:r>
              <w:rPr>
                <w:sz w:val="26"/>
                <w:szCs w:val="26"/>
              </w:rPr>
              <w:t>«1</w:t>
            </w:r>
            <w:r w:rsidR="008C0486">
              <w:rPr>
                <w:sz w:val="26"/>
                <w:szCs w:val="26"/>
              </w:rPr>
              <w:t>4</w:t>
            </w:r>
            <w:r w:rsidR="00FF25CB" w:rsidRPr="00D7177A">
              <w:rPr>
                <w:sz w:val="26"/>
                <w:szCs w:val="26"/>
              </w:rPr>
              <w:t xml:space="preserve">» </w:t>
            </w:r>
            <w:r>
              <w:rPr>
                <w:sz w:val="26"/>
                <w:szCs w:val="26"/>
              </w:rPr>
              <w:t>апреля</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8C0486" w:rsidP="008C0486">
      <w:pPr>
        <w:spacing w:before="0" w:line="360" w:lineRule="auto"/>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sidRPr="00C677BC">
        <w:rPr>
          <w:sz w:val="24"/>
          <w:szCs w:val="24"/>
        </w:rPr>
        <w:t xml:space="preserve"> закупочной комиссии</w:t>
      </w:r>
      <w:r w:rsidR="00FF25CB">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8C0486">
        <w:rPr>
          <w:sz w:val="24"/>
          <w:szCs w:val="24"/>
        </w:rPr>
        <w:t>С.А. Коржов</w:t>
      </w:r>
    </w:p>
    <w:p w:rsidR="00FF25CB" w:rsidRPr="00C677BC" w:rsidRDefault="00DB5B95" w:rsidP="00FF25CB">
      <w:pPr>
        <w:spacing w:before="0" w:line="360" w:lineRule="auto"/>
        <w:ind w:left="5811" w:hanging="11"/>
        <w:rPr>
          <w:sz w:val="24"/>
          <w:szCs w:val="24"/>
        </w:rPr>
      </w:pPr>
      <w:r>
        <w:rPr>
          <w:sz w:val="24"/>
          <w:szCs w:val="24"/>
        </w:rPr>
        <w:t xml:space="preserve"> «0</w:t>
      </w:r>
      <w:r w:rsidR="008C0486">
        <w:rPr>
          <w:sz w:val="24"/>
          <w:szCs w:val="24"/>
        </w:rPr>
        <w:t>5</w:t>
      </w:r>
      <w:r w:rsidR="00FF25CB" w:rsidRPr="00C677BC">
        <w:rPr>
          <w:sz w:val="24"/>
          <w:szCs w:val="24"/>
        </w:rPr>
        <w:t xml:space="preserve">» </w:t>
      </w:r>
      <w:r>
        <w:rPr>
          <w:sz w:val="24"/>
          <w:szCs w:val="24"/>
        </w:rPr>
        <w:t>апреля</w:t>
      </w:r>
      <w:r w:rsidR="00D42DC7">
        <w:rPr>
          <w:sz w:val="24"/>
          <w:szCs w:val="24"/>
        </w:rPr>
        <w:t xml:space="preserve">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8C0486" w:rsidRPr="008C0486">
        <w:rPr>
          <w:b/>
          <w:sz w:val="40"/>
          <w:szCs w:val="40"/>
        </w:rPr>
        <w:t>Чистка просеки ВЛ 0,4-10-35-110кВ СП ПЗЭС филиала ПЭС</w:t>
      </w:r>
    </w:p>
    <w:p w:rsidR="00FF25CB" w:rsidRPr="00C55B01" w:rsidRDefault="00FF25CB" w:rsidP="00FF25CB">
      <w:pPr>
        <w:jc w:val="center"/>
      </w:pPr>
      <w:r w:rsidRPr="00C55B01">
        <w:t xml:space="preserve">(ЛОТ № </w:t>
      </w:r>
      <w:r w:rsidR="008C0486" w:rsidRPr="008C0486">
        <w:t>305901-РЕМ ПРОД-2021-ДРСК</w:t>
      </w:r>
      <w:r w:rsidR="00DB5B95">
        <w:t xml:space="preserve"> повторно</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EB12D8">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EB12D8">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EB12D8">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EB12D8">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8C0486" w:rsidRPr="008C0486">
              <w:rPr>
                <w:b/>
              </w:rPr>
              <w:t>305901-РЕМ ПРОД-2021-ДРСК</w:t>
            </w:r>
            <w:r w:rsidR="00DB5B95">
              <w:rPr>
                <w:b/>
              </w:rPr>
              <w:t xml:space="preserve"> повторно</w:t>
            </w:r>
            <w:r w:rsidRPr="007F69ED">
              <w:t xml:space="preserve">: право  заключения договора на выполнение работ </w:t>
            </w:r>
            <w:r w:rsidR="008C0486" w:rsidRPr="008C0486">
              <w:rPr>
                <w:b/>
              </w:rPr>
              <w:t>Чистка просеки ВЛ 0,4-10-35-110кВ СП ПЗЭС филиала ПЭС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B5B95" w:rsidP="00D42DC7">
            <w:pPr>
              <w:rPr>
                <w:rStyle w:val="af8"/>
                <w:b w:val="0"/>
                <w:snapToGrid/>
              </w:rPr>
            </w:pPr>
            <w:r>
              <w:rPr>
                <w:b/>
              </w:rPr>
              <w:t>05.04</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8C0486">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C0486" w:rsidRPr="008C0486">
              <w:rPr>
                <w:rFonts w:ascii="Times New Roman" w:eastAsia="Times New Roman" w:hAnsi="Times New Roman"/>
                <w:b/>
                <w:noProof w:val="0"/>
                <w:snapToGrid w:val="0"/>
                <w:sz w:val="26"/>
                <w:lang w:eastAsia="ru-RU"/>
              </w:rPr>
              <w:t>5</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303</w:t>
            </w:r>
            <w:r w:rsidR="008C0486">
              <w:rPr>
                <w:rFonts w:ascii="Times New Roman" w:eastAsia="Times New Roman" w:hAnsi="Times New Roman"/>
                <w:b/>
                <w:noProof w:val="0"/>
                <w:snapToGrid w:val="0"/>
                <w:sz w:val="26"/>
                <w:lang w:eastAsia="ru-RU"/>
              </w:rPr>
              <w:t xml:space="preserve"> </w:t>
            </w:r>
            <w:r w:rsidR="008C0486" w:rsidRPr="008C0486">
              <w:rPr>
                <w:rFonts w:ascii="Times New Roman" w:eastAsia="Times New Roman" w:hAnsi="Times New Roman"/>
                <w:b/>
                <w:noProof w:val="0"/>
                <w:snapToGrid w:val="0"/>
                <w:sz w:val="26"/>
                <w:lang w:eastAsia="ru-RU"/>
              </w:rPr>
              <w:t>869,92</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DB5B95" w:rsidP="00D42DC7">
            <w:pPr>
              <w:pStyle w:val="Tabletext"/>
              <w:spacing w:after="120"/>
              <w:rPr>
                <w:b/>
                <w:i/>
                <w:snapToGrid w:val="0"/>
                <w:sz w:val="26"/>
                <w:szCs w:val="26"/>
                <w:shd w:val="clear" w:color="auto" w:fill="FFFF99"/>
              </w:rPr>
            </w:pPr>
            <w:r>
              <w:rPr>
                <w:b/>
                <w:sz w:val="26"/>
                <w:szCs w:val="26"/>
              </w:rPr>
              <w:t>«1</w:t>
            </w:r>
            <w:r w:rsidR="008C0486">
              <w:rPr>
                <w:b/>
                <w:sz w:val="26"/>
                <w:szCs w:val="26"/>
              </w:rPr>
              <w:t>4</w:t>
            </w:r>
            <w:r w:rsidR="00D42DC7" w:rsidRPr="002D4369">
              <w:rPr>
                <w:b/>
                <w:sz w:val="26"/>
                <w:szCs w:val="26"/>
              </w:rPr>
              <w:t xml:space="preserve">» </w:t>
            </w:r>
            <w:r>
              <w:rPr>
                <w:b/>
                <w:sz w:val="26"/>
                <w:szCs w:val="26"/>
              </w:rPr>
              <w:t>апреля</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DB5B95" w:rsidP="00D42DC7">
            <w:pPr>
              <w:spacing w:after="120"/>
              <w:rPr>
                <w:b/>
              </w:rPr>
            </w:pPr>
            <w:r>
              <w:rPr>
                <w:b/>
              </w:rPr>
              <w:t>«0</w:t>
            </w:r>
            <w:r w:rsidR="008C0486">
              <w:rPr>
                <w:b/>
              </w:rPr>
              <w:t>5</w:t>
            </w:r>
            <w:r w:rsidR="00D42DC7" w:rsidRPr="007F69ED">
              <w:rPr>
                <w:b/>
              </w:rPr>
              <w:t xml:space="preserve">» </w:t>
            </w:r>
            <w:r>
              <w:rPr>
                <w:b/>
              </w:rPr>
              <w:t>августа</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DB5B95" w:rsidP="00DB5B95">
            <w:pPr>
              <w:pStyle w:val="Tableheader"/>
              <w:widowControl w:val="0"/>
              <w:rPr>
                <w:rStyle w:val="af8"/>
                <w:b/>
                <w:i w:val="0"/>
                <w:sz w:val="26"/>
                <w:szCs w:val="26"/>
                <w:shd w:val="clear" w:color="auto" w:fill="auto"/>
              </w:rPr>
            </w:pPr>
            <w:r>
              <w:rPr>
                <w:sz w:val="26"/>
                <w:szCs w:val="26"/>
              </w:rPr>
              <w:t>«1</w:t>
            </w:r>
            <w:r w:rsidR="008C0486">
              <w:rPr>
                <w:sz w:val="26"/>
                <w:szCs w:val="26"/>
              </w:rPr>
              <w:t>4</w:t>
            </w:r>
            <w:r w:rsidR="00D42DC7" w:rsidRPr="002D4369">
              <w:rPr>
                <w:sz w:val="26"/>
                <w:szCs w:val="26"/>
              </w:rPr>
              <w:t xml:space="preserve">» </w:t>
            </w:r>
            <w:r>
              <w:rPr>
                <w:sz w:val="26"/>
                <w:szCs w:val="26"/>
              </w:rPr>
              <w:t>апреля</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7F69ED">
              <w:rPr>
                <w:snapToGrid w:val="0"/>
                <w:sz w:val="26"/>
                <w:szCs w:val="26"/>
              </w:rPr>
              <w:t xml:space="preserve">по местному времени </w:t>
            </w:r>
            <w:r w:rsidR="00D42DC7" w:rsidRPr="007F69ED">
              <w:rPr>
                <w:sz w:val="26"/>
                <w:szCs w:val="26"/>
              </w:rPr>
              <w:t>О</w:t>
            </w:r>
            <w:r w:rsidR="00D42DC7" w:rsidRPr="007F69ED">
              <w:rPr>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DB5B95" w:rsidP="00DB5B95">
            <w:pPr>
              <w:spacing w:after="120"/>
              <w:rPr>
                <w:b/>
              </w:rPr>
            </w:pPr>
            <w:r>
              <w:rPr>
                <w:b/>
              </w:rPr>
              <w:t>«30</w:t>
            </w:r>
            <w:r w:rsidR="00105E64" w:rsidRPr="007F69ED">
              <w:rPr>
                <w:b/>
              </w:rPr>
              <w:t xml:space="preserve">» </w:t>
            </w:r>
            <w:r>
              <w:rPr>
                <w:b/>
              </w:rPr>
              <w:t>апреля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DB5B95" w:rsidP="00DB5B95">
            <w:pPr>
              <w:spacing w:after="120"/>
              <w:rPr>
                <w:b/>
              </w:rPr>
            </w:pPr>
            <w:r>
              <w:rPr>
                <w:b/>
              </w:rPr>
              <w:t>«07</w:t>
            </w:r>
            <w:r w:rsidR="00105E64" w:rsidRPr="007F69ED">
              <w:rPr>
                <w:b/>
              </w:rPr>
              <w:t xml:space="preserve">» </w:t>
            </w:r>
            <w:r>
              <w:rPr>
                <w:b/>
              </w:rPr>
              <w:t xml:space="preserve">мая </w:t>
            </w:r>
            <w:bookmarkStart w:id="60" w:name="_GoBack"/>
            <w:bookmarkEnd w:id="60"/>
            <w:r w:rsidR="00105E64">
              <w:rPr>
                <w:b/>
              </w:rPr>
              <w:t>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D8" w:rsidRDefault="00EB12D8">
      <w:r>
        <w:separator/>
      </w:r>
    </w:p>
  </w:endnote>
  <w:endnote w:type="continuationSeparator" w:id="0">
    <w:p w:rsidR="00EB12D8" w:rsidRDefault="00EB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B9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B95">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B9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B95">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B9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B95">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B9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B95">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D8" w:rsidRDefault="00EB12D8">
      <w:r>
        <w:separator/>
      </w:r>
    </w:p>
  </w:footnote>
  <w:footnote w:type="continuationSeparator" w:id="0">
    <w:p w:rsidR="00EB12D8" w:rsidRDefault="00EB12D8">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2FE3"/>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2FA"/>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B95"/>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2D8"/>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A183E"/>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9C54-9040-443E-BE8F-D9F0A64D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111</Pages>
  <Words>30222</Words>
  <Characters>172272</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2021-01-22T06:16:00Z</dcterms:created>
  <dcterms:modified xsi:type="dcterms:W3CDTF">2021-04-02T07:43:00Z</dcterms:modified>
</cp:coreProperties>
</file>