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lastRenderedPageBreak/>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w:t>
      </w:r>
      <w:r w:rsidR="00727F14" w:rsidRPr="00C2118D">
        <w:rPr>
          <w:b w:val="0"/>
          <w:snapToGrid/>
          <w:sz w:val="24"/>
          <w:szCs w:val="24"/>
          <w:lang w:val="ru-RU" w:eastAsia="en-US"/>
        </w:rPr>
        <w:lastRenderedPageBreak/>
        <w:t xml:space="preserve">(схем))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xml:space="preserve">, расположенном по адресу: </w:t>
      </w:r>
      <w:r w:rsidR="00495515" w:rsidRPr="00495515">
        <w:rPr>
          <w:b w:val="0"/>
          <w:snapToGrid/>
          <w:sz w:val="24"/>
          <w:szCs w:val="24"/>
          <w:lang w:val="ru-RU" w:eastAsia="en-US"/>
        </w:rPr>
        <w:lastRenderedPageBreak/>
        <w:t>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6193D" w:rsidRPr="00261F72" w:rsidRDefault="00D6193D" w:rsidP="00131775">
      <w:pPr>
        <w:pStyle w:val="ae"/>
        <w:numPr>
          <w:ilvl w:val="1"/>
          <w:numId w:val="3"/>
        </w:numPr>
        <w:shd w:val="clear" w:color="auto" w:fill="FFFFFF"/>
        <w:tabs>
          <w:tab w:val="left" w:pos="1134"/>
        </w:tabs>
        <w:ind w:left="0" w:firstLine="709"/>
        <w:jc w:val="both"/>
        <w:rPr>
          <w:bCs/>
        </w:rPr>
      </w:pPr>
      <w:bookmarkStart w:id="5" w:name="_Ref361410951"/>
      <w:r w:rsidRPr="00261F72">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261F72">
        <w:rPr>
          <w:bCs/>
          <w:i/>
        </w:rPr>
        <w:t xml:space="preserve">строительству объекта </w:t>
      </w:r>
      <w:r w:rsidR="000C18FE" w:rsidRPr="000C18FE">
        <w:rPr>
          <w:b/>
          <w:bCs/>
          <w:i/>
          <w:iCs/>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0C18FE" w:rsidRPr="000C18FE">
        <w:rPr>
          <w:b/>
          <w:bCs/>
          <w:i/>
          <w:iCs/>
        </w:rPr>
        <w:br/>
        <w:t>на территории филиала "Приморские ЭС" (</w:t>
      </w:r>
      <w:r w:rsidR="00CE2893">
        <w:rPr>
          <w:b/>
          <w:bCs/>
          <w:i/>
          <w:iCs/>
        </w:rPr>
        <w:t>Кавалеровский район</w:t>
      </w:r>
      <w:r w:rsidR="000C18FE" w:rsidRPr="000C18FE">
        <w:rPr>
          <w:b/>
          <w:bCs/>
          <w:i/>
          <w:iCs/>
        </w:rPr>
        <w:t xml:space="preserve">) </w:t>
      </w:r>
      <w:r w:rsidRPr="00261F72">
        <w:rPr>
          <w:b/>
          <w:bCs/>
          <w:i/>
        </w:rPr>
        <w:t xml:space="preserve"> </w:t>
      </w:r>
      <w:r w:rsidRPr="00261F72">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F25C12" w:rsidRPr="00C2118D" w:rsidRDefault="00F25C12" w:rsidP="00131775">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131775">
      <w:pPr>
        <w:pStyle w:val="ae"/>
        <w:numPr>
          <w:ilvl w:val="2"/>
          <w:numId w:val="3"/>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131775">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131775">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131775">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131775">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131775">
      <w:pPr>
        <w:pStyle w:val="ae"/>
        <w:numPr>
          <w:ilvl w:val="2"/>
          <w:numId w:val="3"/>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D6193D" w:rsidRDefault="00686610" w:rsidP="00131775">
      <w:pPr>
        <w:pStyle w:val="ae"/>
        <w:numPr>
          <w:ilvl w:val="2"/>
          <w:numId w:val="3"/>
        </w:numPr>
        <w:shd w:val="clear" w:color="auto" w:fill="FFFFFF"/>
        <w:tabs>
          <w:tab w:val="left" w:pos="1418"/>
        </w:tabs>
        <w:ind w:left="0" w:firstLine="709"/>
        <w:jc w:val="both"/>
      </w:pPr>
      <w:r w:rsidRPr="00D6193D">
        <w:rPr>
          <w:bCs/>
        </w:rPr>
        <w:t xml:space="preserve">окончание выполнения Работ: </w:t>
      </w:r>
      <w:r w:rsidR="000C18FE" w:rsidRPr="000C18FE">
        <w:t>«</w:t>
      </w:r>
      <w:r w:rsidR="00AC4704">
        <w:t>03</w:t>
      </w:r>
      <w:r w:rsidR="000C18FE" w:rsidRPr="000C18FE">
        <w:t xml:space="preserve">» </w:t>
      </w:r>
      <w:r w:rsidR="00C153CC">
        <w:t>августа</w:t>
      </w:r>
      <w:r w:rsidR="000C18FE" w:rsidRPr="000C18FE">
        <w:t xml:space="preserve"> 2021 г.</w:t>
      </w:r>
    </w:p>
    <w:p w:rsidR="00F62544" w:rsidRPr="00C2118D" w:rsidRDefault="0080064C" w:rsidP="00131775">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131775">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553DE9" w:rsidRPr="00CE2893" w:rsidRDefault="000C18FE" w:rsidP="00553DE9">
      <w:pPr>
        <w:pStyle w:val="ae"/>
        <w:numPr>
          <w:ilvl w:val="1"/>
          <w:numId w:val="3"/>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t>я</w:t>
      </w:r>
      <w:r w:rsidRPr="00B3741C">
        <w:t xml:space="preserve"> к электрическим сетям Заказчика по договор</w:t>
      </w:r>
      <w:r w:rsidR="00553DE9">
        <w:t>ы</w:t>
      </w:r>
      <w:r>
        <w:t xml:space="preserve"> на </w:t>
      </w:r>
      <w:r w:rsidR="00FC77A9" w:rsidRPr="00FC77A9">
        <w:t>ТП</w:t>
      </w:r>
      <w:r w:rsidR="00E2383E">
        <w:t>:</w:t>
      </w:r>
      <w:r w:rsidR="00832CF5" w:rsidRPr="00832CF5">
        <w:rPr>
          <w:color w:val="370FE1"/>
          <w:sz w:val="25"/>
          <w:szCs w:val="25"/>
        </w:rPr>
        <w:t xml:space="preserve"> </w:t>
      </w:r>
    </w:p>
    <w:p w:rsidR="00CE2893" w:rsidRPr="00CE2893" w:rsidRDefault="00CE2893" w:rsidP="00CE2893">
      <w:pPr>
        <w:shd w:val="clear" w:color="auto" w:fill="FFFFFF"/>
        <w:tabs>
          <w:tab w:val="left" w:pos="1134"/>
        </w:tabs>
        <w:autoSpaceDE w:val="0"/>
        <w:autoSpaceDN w:val="0"/>
        <w:rPr>
          <w:bCs/>
        </w:rPr>
      </w:pPr>
    </w:p>
    <w:p w:rsidR="00CE2893" w:rsidRPr="00CE2893" w:rsidRDefault="00CE2893" w:rsidP="00CE2893">
      <w:pPr>
        <w:widowControl w:val="0"/>
        <w:tabs>
          <w:tab w:val="left" w:pos="993"/>
        </w:tabs>
        <w:spacing w:line="240" w:lineRule="auto"/>
        <w:contextualSpacing/>
        <w:rPr>
          <w:snapToGrid/>
          <w:sz w:val="24"/>
          <w:szCs w:val="24"/>
        </w:rPr>
      </w:pPr>
      <w:r w:rsidRPr="00CE2893">
        <w:rPr>
          <w:snapToGrid/>
          <w:sz w:val="24"/>
          <w:szCs w:val="24"/>
        </w:rPr>
        <w:lastRenderedPageBreak/>
        <w:t xml:space="preserve">1.9.1. №19-4534с от 21.11.2019 (Казаков А.И., Приморский край, Кавалеровский район в 900 м на юго-восток от мыса выступ, кадастровый номер земельного участка 25:04:140000:50), 15 кВт, 380 В; </w:t>
      </w:r>
    </w:p>
    <w:p w:rsidR="00CE2893" w:rsidRPr="00CE2893" w:rsidRDefault="00CE2893" w:rsidP="00CE2893">
      <w:pPr>
        <w:widowControl w:val="0"/>
        <w:tabs>
          <w:tab w:val="left" w:pos="993"/>
        </w:tabs>
        <w:spacing w:line="240" w:lineRule="auto"/>
        <w:contextualSpacing/>
        <w:rPr>
          <w:snapToGrid/>
          <w:sz w:val="24"/>
          <w:szCs w:val="24"/>
        </w:rPr>
      </w:pPr>
      <w:r w:rsidRPr="00CE2893">
        <w:rPr>
          <w:snapToGrid/>
          <w:sz w:val="24"/>
          <w:szCs w:val="24"/>
        </w:rPr>
        <w:t xml:space="preserve">1.9.2. 19-4539с от 21.11.2019 (Ким В.В., Приморский край, Кавалеровский район в 900 м на юго-восток от мыса выступ, кадастровый номер земельного участка 25:04:140000:43), 15 кВт, 380 В; </w:t>
      </w:r>
    </w:p>
    <w:p w:rsidR="00CE2893" w:rsidRPr="00CE2893" w:rsidRDefault="00CE2893" w:rsidP="00CE2893">
      <w:pPr>
        <w:widowControl w:val="0"/>
        <w:tabs>
          <w:tab w:val="left" w:pos="993"/>
        </w:tabs>
        <w:spacing w:line="240" w:lineRule="auto"/>
        <w:contextualSpacing/>
        <w:rPr>
          <w:snapToGrid/>
          <w:sz w:val="24"/>
          <w:szCs w:val="24"/>
        </w:rPr>
      </w:pPr>
      <w:r w:rsidRPr="00CE2893">
        <w:rPr>
          <w:snapToGrid/>
          <w:sz w:val="24"/>
          <w:szCs w:val="24"/>
        </w:rPr>
        <w:t>1.9.3. №19-4537с от 21.11.2019 (Патокина Т.И., Приморский край, Кавалеровский район в 900 м на юго-восток от мыса выступ, кадастровый номер земельного участка 25:04:140000:24), 15 кВт, 380 В;</w:t>
      </w:r>
    </w:p>
    <w:p w:rsidR="00CE2893" w:rsidRPr="00CE2893" w:rsidRDefault="00CE2893" w:rsidP="00CE2893">
      <w:pPr>
        <w:widowControl w:val="0"/>
        <w:tabs>
          <w:tab w:val="left" w:pos="993"/>
        </w:tabs>
        <w:spacing w:line="240" w:lineRule="auto"/>
        <w:contextualSpacing/>
        <w:rPr>
          <w:snapToGrid/>
          <w:sz w:val="24"/>
          <w:szCs w:val="24"/>
        </w:rPr>
      </w:pPr>
      <w:r w:rsidRPr="00CE2893">
        <w:rPr>
          <w:snapToGrid/>
          <w:sz w:val="24"/>
          <w:szCs w:val="24"/>
        </w:rPr>
        <w:t>1.9.4. №19-4536с от 21.11.2019 (Аймальдинов И.Л., Приморский край, Кавалеровский район в 900 м на юго-восток от мыса выступ, кадастровый номер земельного участка 25:04:140000:26), 15 кВт, 380 В;</w:t>
      </w:r>
    </w:p>
    <w:p w:rsidR="00CE2893" w:rsidRPr="00CE2893" w:rsidRDefault="00CE2893" w:rsidP="00CE2893">
      <w:pPr>
        <w:spacing w:line="240" w:lineRule="auto"/>
        <w:ind w:firstLine="0"/>
        <w:rPr>
          <w:snapToGrid/>
          <w:sz w:val="24"/>
          <w:szCs w:val="24"/>
        </w:rPr>
      </w:pPr>
      <w:r w:rsidRPr="00CE2893">
        <w:rPr>
          <w:snapToGrid/>
          <w:sz w:val="24"/>
          <w:szCs w:val="24"/>
        </w:rPr>
        <w:t xml:space="preserve">         1.9.5. №19-4535с от 21.11.2019 (Тисленко Е.Ф., Приморский край, Кавалеровский район в 900 м на юго-восток от мыса выступ, кадастровый номер земельного участка 25:04:140000:27), 15 кВт, 380 В.</w:t>
      </w:r>
    </w:p>
    <w:p w:rsidR="00CE2893" w:rsidRDefault="00CE2893" w:rsidP="00CE2893">
      <w:pPr>
        <w:pStyle w:val="Style19"/>
        <w:tabs>
          <w:tab w:val="left" w:pos="1224"/>
          <w:tab w:val="left" w:pos="1418"/>
          <w:tab w:val="left" w:pos="3403"/>
        </w:tabs>
        <w:spacing w:line="240" w:lineRule="auto"/>
        <w:ind w:left="709" w:firstLine="0"/>
        <w:rPr>
          <w:sz w:val="24"/>
          <w:szCs w:val="24"/>
        </w:rPr>
      </w:pPr>
    </w:p>
    <w:p w:rsidR="004B090F" w:rsidRPr="00F52183" w:rsidRDefault="001D648F" w:rsidP="00F52183">
      <w:pPr>
        <w:pStyle w:val="ae"/>
        <w:numPr>
          <w:ilvl w:val="0"/>
          <w:numId w:val="3"/>
        </w:numPr>
        <w:shd w:val="clear" w:color="auto" w:fill="FFFFFF"/>
        <w:tabs>
          <w:tab w:val="left" w:pos="284"/>
        </w:tabs>
        <w:jc w:val="center"/>
        <w:rPr>
          <w:b/>
          <w:bCs/>
        </w:rPr>
      </w:pPr>
      <w:r w:rsidRPr="00F52183">
        <w:rPr>
          <w:b/>
          <w:bCs/>
        </w:rPr>
        <w:t>Права и обязанности Ст</w:t>
      </w:r>
      <w:r w:rsidR="004B090F" w:rsidRPr="00F52183">
        <w:rPr>
          <w:b/>
          <w:bCs/>
        </w:rPr>
        <w:t>орон</w:t>
      </w:r>
      <w:r w:rsidR="00F17963" w:rsidRPr="00F52183">
        <w:rPr>
          <w:b/>
          <w:bCs/>
        </w:rPr>
        <w:t xml:space="preserve"> </w:t>
      </w:r>
    </w:p>
    <w:p w:rsidR="004B090F" w:rsidRPr="00BC4883" w:rsidRDefault="004B090F" w:rsidP="00F52183">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F52183">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F52183">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F52183">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F52183">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F52183">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F52183">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F52183">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F52183">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F52183">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F52183">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lastRenderedPageBreak/>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F52183">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F52183">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F52183">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F52183">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F52183">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F52183">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F52183">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F52183">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F52183">
      <w:pPr>
        <w:pStyle w:val="ae"/>
        <w:numPr>
          <w:ilvl w:val="2"/>
          <w:numId w:val="3"/>
        </w:numPr>
        <w:shd w:val="clear" w:color="auto" w:fill="FFFFFF"/>
        <w:tabs>
          <w:tab w:val="left" w:pos="1418"/>
        </w:tabs>
        <w:ind w:left="0" w:firstLine="709"/>
        <w:jc w:val="both"/>
        <w:rPr>
          <w:bCs/>
        </w:rPr>
      </w:pPr>
      <w:r>
        <w:rPr>
          <w:bCs/>
        </w:rPr>
        <w:lastRenderedPageBreak/>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F52183">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F52183">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F52183">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w:t>
      </w:r>
      <w:r w:rsidRPr="00BD336D">
        <w:rPr>
          <w:bCs/>
          <w:sz w:val="24"/>
        </w:rPr>
        <w:lastRenderedPageBreak/>
        <w:t>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F52183">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F52183">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F52183">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F52183">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F52183">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F52183">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F52183">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F52183">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F52183">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F52183">
      <w:pPr>
        <w:pStyle w:val="ae"/>
        <w:numPr>
          <w:ilvl w:val="2"/>
          <w:numId w:val="3"/>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F52183">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F52183">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F52183">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F52183">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F52183">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F52183">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F52183">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F52183">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F52183">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F52183">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F52183">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F52183">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F52183">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F52183">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F52183">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F52183">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F52183">
      <w:pPr>
        <w:pStyle w:val="ae"/>
        <w:numPr>
          <w:ilvl w:val="1"/>
          <w:numId w:val="3"/>
        </w:numPr>
        <w:shd w:val="clear" w:color="auto" w:fill="FFFFFF"/>
        <w:tabs>
          <w:tab w:val="left" w:pos="1134"/>
        </w:tabs>
        <w:ind w:left="0" w:firstLine="709"/>
        <w:jc w:val="both"/>
        <w:rPr>
          <w:bCs/>
        </w:rPr>
      </w:pPr>
      <w:r w:rsidRPr="00BC4883">
        <w:rPr>
          <w:bCs/>
          <w:u w:val="single"/>
        </w:rPr>
        <w:lastRenderedPageBreak/>
        <w:t>Подрядчик имеет право</w:t>
      </w:r>
      <w:r w:rsidRPr="00BC4883">
        <w:rPr>
          <w:bCs/>
        </w:rPr>
        <w:t>:</w:t>
      </w:r>
    </w:p>
    <w:p w:rsidR="00507E63" w:rsidRPr="00C2118D" w:rsidRDefault="00507E63" w:rsidP="00F52183">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F52183">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F52183">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F52183">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F52183">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F52183">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F52183">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F52183">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F52183">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F52183">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F52183">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F52183">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lastRenderedPageBreak/>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D950CD">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w:t>
      </w:r>
      <w:r w:rsidRPr="00B3741C">
        <w:rPr>
          <w:bCs/>
        </w:rPr>
        <w:lastRenderedPageBreak/>
        <w:t>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F52183">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F52183">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F52183">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F52183">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CB0E92">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CB0E92">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lastRenderedPageBreak/>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w:t>
      </w:r>
      <w:r w:rsidRPr="00E7719F">
        <w:rPr>
          <w:bCs/>
        </w:rPr>
        <w:lastRenderedPageBreak/>
        <w:t xml:space="preserve">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CB0E92">
        <w:rPr>
          <w:bCs/>
        </w:rPr>
        <w:t>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lastRenderedPageBreak/>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lastRenderedPageBreak/>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w:t>
      </w:r>
      <w:r w:rsidRPr="00C2118D">
        <w:rPr>
          <w:bCs/>
        </w:rPr>
        <w:lastRenderedPageBreak/>
        <w:t xml:space="preserve">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lastRenderedPageBreak/>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CB0E92">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lastRenderedPageBreak/>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w:t>
      </w:r>
      <w:r w:rsidRPr="00C2118D">
        <w:lastRenderedPageBreak/>
        <w:t xml:space="preserve">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w:t>
      </w:r>
      <w:r w:rsidRPr="00C2118D">
        <w:lastRenderedPageBreak/>
        <w:t>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CB0E92">
        <w:rPr>
          <w:bCs/>
        </w:rPr>
        <w:t>6</w:t>
      </w:r>
      <w:r w:rsidRPr="00C2118D">
        <w:rPr>
          <w:bCs/>
        </w:rPr>
        <w:t>.</w:t>
      </w:r>
      <w:r w:rsidR="00CB0E92">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lastRenderedPageBreak/>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lastRenderedPageBreak/>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lastRenderedPageBreak/>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 xml:space="preserve">Критерии, установленные п. 3, 4 и 6, не распространяются на кредитные </w:t>
      </w:r>
      <w:r w:rsidRPr="00045920">
        <w:lastRenderedPageBreak/>
        <w:t>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w:t>
            </w:r>
            <w:r w:rsidRPr="00045920">
              <w:rPr>
                <w:sz w:val="24"/>
                <w:szCs w:val="24"/>
              </w:rPr>
              <w:lastRenderedPageBreak/>
              <w:t>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25B" w:rsidRDefault="00B9725B">
      <w:r>
        <w:separator/>
      </w:r>
    </w:p>
  </w:endnote>
  <w:endnote w:type="continuationSeparator" w:id="0">
    <w:p w:rsidR="00B9725B" w:rsidRDefault="00B9725B">
      <w:r>
        <w:continuationSeparator/>
      </w:r>
    </w:p>
  </w:endnote>
  <w:endnote w:type="continuationNotice" w:id="1">
    <w:p w:rsidR="00B9725B" w:rsidRDefault="00B972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Pr="003A0F1D" w:rsidRDefault="003C6238">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25B" w:rsidRDefault="00B9725B">
      <w:r>
        <w:separator/>
      </w:r>
    </w:p>
  </w:footnote>
  <w:footnote w:type="continuationSeparator" w:id="0">
    <w:p w:rsidR="00B9725B" w:rsidRDefault="00B9725B">
      <w:r>
        <w:continuationSeparator/>
      </w:r>
    </w:p>
  </w:footnote>
  <w:footnote w:type="continuationNotice" w:id="1">
    <w:p w:rsidR="00B9725B" w:rsidRDefault="00B9725B">
      <w:pPr>
        <w:spacing w:line="240" w:lineRule="auto"/>
      </w:pPr>
    </w:p>
  </w:footnote>
  <w:footnote w:id="2">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3C6238" w:rsidRDefault="003C6238">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39123B" w:rsidRDefault="0039123B">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3C6238" w:rsidRDefault="003C623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C6238" w:rsidRPr="00F75D6A" w:rsidRDefault="003C6238"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3C6238" w:rsidRPr="00BA3A83" w:rsidRDefault="003C6238"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3C6238" w:rsidRPr="001F3865" w:rsidRDefault="003C6238"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1A0EE3"/>
    <w:multiLevelType w:val="multilevel"/>
    <w:tmpl w:val="9E080BEC"/>
    <w:lvl w:ilvl="0">
      <w:start w:val="1"/>
      <w:numFmt w:val="decimal"/>
      <w:lvlText w:val="%1."/>
      <w:lvlJc w:val="left"/>
      <w:pPr>
        <w:ind w:left="585" w:hanging="585"/>
      </w:pPr>
      <w:rPr>
        <w:rFonts w:hint="default"/>
      </w:rPr>
    </w:lvl>
    <w:lvl w:ilvl="1">
      <w:start w:val="9"/>
      <w:numFmt w:val="decimal"/>
      <w:lvlText w:val="%1.%2."/>
      <w:lvlJc w:val="left"/>
      <w:pPr>
        <w:ind w:left="1642" w:hanging="720"/>
      </w:pPr>
      <w:rPr>
        <w:rFonts w:hint="default"/>
      </w:rPr>
    </w:lvl>
    <w:lvl w:ilvl="2">
      <w:start w:val="4"/>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176" w:hanging="1800"/>
      </w:pPr>
      <w:rPr>
        <w:rFont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163A71"/>
    <w:multiLevelType w:val="singleLevel"/>
    <w:tmpl w:val="0FF45024"/>
    <w:lvl w:ilvl="0">
      <w:start w:val="1"/>
      <w:numFmt w:val="decimal"/>
      <w:lvlText w:val="1.2.%1."/>
      <w:lvlJc w:val="left"/>
      <w:pPr>
        <w:ind w:left="0" w:firstLine="0"/>
      </w:pPr>
      <w:rPr>
        <w:rFonts w:hint="default"/>
        <w:color w:val="auto"/>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E24CFB"/>
    <w:multiLevelType w:val="multilevel"/>
    <w:tmpl w:val="02A6F156"/>
    <w:lvl w:ilvl="0">
      <w:start w:val="1"/>
      <w:numFmt w:val="decimal"/>
      <w:lvlText w:val="%1"/>
      <w:lvlJc w:val="left"/>
      <w:pPr>
        <w:ind w:left="525" w:hanging="525"/>
      </w:pPr>
      <w:rPr>
        <w:rFonts w:hint="default"/>
      </w:rPr>
    </w:lvl>
    <w:lvl w:ilvl="1">
      <w:start w:val="9"/>
      <w:numFmt w:val="decimal"/>
      <w:lvlText w:val="%1.%2"/>
      <w:lvlJc w:val="left"/>
      <w:pPr>
        <w:ind w:left="1447" w:hanging="525"/>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26"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99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1"/>
  </w:num>
  <w:num w:numId="3">
    <w:abstractNumId w:val="26"/>
  </w:num>
  <w:num w:numId="4">
    <w:abstractNumId w:val="13"/>
  </w:num>
  <w:num w:numId="5">
    <w:abstractNumId w:val="15"/>
  </w:num>
  <w:num w:numId="6">
    <w:abstractNumId w:val="2"/>
  </w:num>
  <w:num w:numId="7">
    <w:abstractNumId w:val="21"/>
  </w:num>
  <w:num w:numId="8">
    <w:abstractNumId w:val="1"/>
  </w:num>
  <w:num w:numId="9">
    <w:abstractNumId w:val="0"/>
  </w:num>
  <w:num w:numId="10">
    <w:abstractNumId w:val="10"/>
  </w:num>
  <w:num w:numId="11">
    <w:abstractNumId w:val="12"/>
  </w:num>
  <w:num w:numId="12">
    <w:abstractNumId w:val="24"/>
  </w:num>
  <w:num w:numId="13">
    <w:abstractNumId w:val="16"/>
  </w:num>
  <w:num w:numId="14">
    <w:abstractNumId w:val="28"/>
  </w:num>
  <w:num w:numId="15">
    <w:abstractNumId w:val="19"/>
  </w:num>
  <w:num w:numId="16">
    <w:abstractNumId w:val="29"/>
  </w:num>
  <w:num w:numId="17">
    <w:abstractNumId w:val="18"/>
  </w:num>
  <w:num w:numId="18">
    <w:abstractNumId w:val="8"/>
  </w:num>
  <w:num w:numId="19">
    <w:abstractNumId w:val="9"/>
  </w:num>
  <w:num w:numId="20">
    <w:abstractNumId w:val="23"/>
  </w:num>
  <w:num w:numId="21">
    <w:abstractNumId w:val="4"/>
  </w:num>
  <w:num w:numId="22">
    <w:abstractNumId w:val="6"/>
  </w:num>
  <w:num w:numId="23">
    <w:abstractNumId w:val="14"/>
  </w:num>
  <w:num w:numId="24">
    <w:abstractNumId w:val="22"/>
  </w:num>
  <w:num w:numId="25">
    <w:abstractNumId w:val="5"/>
  </w:num>
  <w:num w:numId="26">
    <w:abstractNumId w:val="17"/>
  </w:num>
  <w:num w:numId="27">
    <w:abstractNumId w:val="11"/>
  </w:num>
  <w:num w:numId="28">
    <w:abstractNumId w:val="7"/>
  </w:num>
  <w:num w:numId="29">
    <w:abstractNumId w:val="30"/>
  </w:num>
  <w:num w:numId="30">
    <w:abstractNumId w:val="20"/>
  </w:num>
  <w:num w:numId="31">
    <w:abstractNumId w:val="25"/>
  </w:num>
  <w:num w:numId="32">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6C9F"/>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3DE9"/>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271C"/>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2CF5"/>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4704"/>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9725B"/>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53CC"/>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0E92"/>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893"/>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0CD"/>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83E"/>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183"/>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C77A9"/>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8F763C-7829-4621-9B00-253F3385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19">
    <w:name w:val="Style19"/>
    <w:basedOn w:val="a"/>
    <w:rsid w:val="00E2383E"/>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4845-BB0B-4F2F-8182-EAE90144CE78}">
  <ds:schemaRefs>
    <ds:schemaRef ds:uri="http://schemas.openxmlformats.org/officeDocument/2006/bibliography"/>
  </ds:schemaRefs>
</ds:datastoreItem>
</file>

<file path=customXml/itemProps2.xml><?xml version="1.0" encoding="utf-8"?>
<ds:datastoreItem xmlns:ds="http://schemas.openxmlformats.org/officeDocument/2006/customXml" ds:itemID="{ECF9A722-9D43-4FF4-9FB2-005D19399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19325</Words>
  <Characters>110159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129226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2021-02-10T23:58:00Z</cp:lastPrinted>
  <dcterms:created xsi:type="dcterms:W3CDTF">2021-03-30T03:46:00Z</dcterms:created>
  <dcterms:modified xsi:type="dcterms:W3CDTF">2021-03-30T03:46:00Z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