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C2118D">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211AF8" w:rsidRPr="00211AF8">
        <w:rPr>
          <w:b/>
          <w:color w:val="auto"/>
          <w:lang w:val="ru-RU"/>
        </w:rPr>
        <w:t>Расширение и чистка просек ВЛ 35-110 кВ Артемовского РЭС</w:t>
      </w:r>
      <w:r w:rsidR="00211AF8">
        <w:rPr>
          <w:b/>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995D5B" w:rsidRDefault="004B090F" w:rsidP="00DC06E0">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DC06E0" w:rsidRPr="00DC06E0">
        <w:rPr>
          <w:b/>
          <w:i/>
        </w:rPr>
        <w:t>Расширени</w:t>
      </w:r>
      <w:r w:rsidR="00DC06E0">
        <w:rPr>
          <w:b/>
          <w:i/>
        </w:rPr>
        <w:t>ю</w:t>
      </w:r>
      <w:r w:rsidR="00DC06E0" w:rsidRPr="00DC06E0">
        <w:rPr>
          <w:b/>
          <w:i/>
        </w:rPr>
        <w:t xml:space="preserve"> и чистк</w:t>
      </w:r>
      <w:r w:rsidR="00DC06E0">
        <w:rPr>
          <w:b/>
          <w:i/>
        </w:rPr>
        <w:t>е</w:t>
      </w:r>
      <w:r w:rsidR="00DC06E0" w:rsidRPr="00DC06E0">
        <w:rPr>
          <w:b/>
          <w:i/>
        </w:rPr>
        <w:t xml:space="preserve"> просек ВЛ 35-110 кВ Артемовского РЭС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7C0C89"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D756FC" w:rsidRPr="00D756FC" w:rsidRDefault="00D756FC" w:rsidP="00D756FC">
      <w:pPr>
        <w:widowControl w:val="0"/>
        <w:spacing w:line="240" w:lineRule="auto"/>
        <w:contextualSpacing/>
        <w:rPr>
          <w:b/>
          <w:sz w:val="24"/>
          <w:szCs w:val="24"/>
        </w:rPr>
      </w:pPr>
      <w:r w:rsidRPr="00D756FC">
        <w:rPr>
          <w:b/>
          <w:sz w:val="24"/>
          <w:szCs w:val="24"/>
        </w:rPr>
        <w:t>1.</w:t>
      </w:r>
      <w:r>
        <w:rPr>
          <w:b/>
          <w:sz w:val="24"/>
          <w:szCs w:val="24"/>
        </w:rPr>
        <w:t>4.</w:t>
      </w:r>
      <w:r w:rsidRPr="00D756FC">
        <w:rPr>
          <w:b/>
          <w:sz w:val="24"/>
          <w:szCs w:val="24"/>
        </w:rPr>
        <w:t>1.</w:t>
      </w:r>
      <w:r w:rsidRPr="00D756FC">
        <w:rPr>
          <w:b/>
          <w:sz w:val="24"/>
          <w:szCs w:val="24"/>
        </w:rPr>
        <w:tab/>
        <w:t xml:space="preserve">ВЛ 110 кВ Тереховка - Раздольное 2 (PR0002816 BЛ 110 KB "Уссурийск (оп.79)-ТЕРЕХОВКА-Раздольное-) </w:t>
      </w:r>
      <w:r w:rsidRPr="00D756FC">
        <w:rPr>
          <w:sz w:val="24"/>
          <w:szCs w:val="24"/>
        </w:rPr>
        <w:t>проходит по территории Надеждинского района Приморского края.</w:t>
      </w:r>
    </w:p>
    <w:p w:rsidR="00D756FC" w:rsidRPr="00D756FC" w:rsidRDefault="00D756FC" w:rsidP="00D756FC">
      <w:pPr>
        <w:widowControl w:val="0"/>
        <w:spacing w:line="240" w:lineRule="auto"/>
        <w:contextualSpacing/>
        <w:rPr>
          <w:sz w:val="24"/>
          <w:szCs w:val="24"/>
        </w:rPr>
      </w:pPr>
      <w:r w:rsidRPr="00D756FC">
        <w:rPr>
          <w:b/>
          <w:sz w:val="24"/>
          <w:szCs w:val="24"/>
        </w:rPr>
        <w:t>1.</w:t>
      </w:r>
      <w:r>
        <w:rPr>
          <w:b/>
          <w:sz w:val="24"/>
          <w:szCs w:val="24"/>
        </w:rPr>
        <w:t>4.</w:t>
      </w:r>
      <w:bookmarkStart w:id="6" w:name="_GoBack"/>
      <w:bookmarkEnd w:id="6"/>
      <w:r w:rsidRPr="00D756FC">
        <w:rPr>
          <w:b/>
          <w:sz w:val="24"/>
          <w:szCs w:val="24"/>
        </w:rPr>
        <w:t>2.</w:t>
      </w:r>
      <w:r w:rsidRPr="00D756FC">
        <w:rPr>
          <w:b/>
          <w:sz w:val="24"/>
          <w:szCs w:val="24"/>
        </w:rPr>
        <w:tab/>
        <w:t xml:space="preserve">ВЛ 35 кВ Раздольное 1 - Силикатная (PR0002796 BOЗДУШHAЯ ЛЭП-35 PAЗДOЛЬH.-1-CИЛИKATHAЯ-ОЛЕНЕВОД) </w:t>
      </w:r>
      <w:r w:rsidRPr="00D756FC">
        <w:rPr>
          <w:sz w:val="24"/>
          <w:szCs w:val="24"/>
        </w:rPr>
        <w:t>проходит по территории Надеждинского района Приморского края.</w:t>
      </w:r>
    </w:p>
    <w:p w:rsidR="007C0C89" w:rsidRPr="00700B34" w:rsidRDefault="007C0C89" w:rsidP="007C0C89">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8C44B5">
      <w:pPr>
        <w:pStyle w:val="af"/>
        <w:shd w:val="clear" w:color="auto" w:fill="FFFFFF"/>
        <w:tabs>
          <w:tab w:val="left" w:pos="1134"/>
        </w:tabs>
        <w:spacing w:before="120"/>
        <w:ind w:left="574"/>
        <w:rPr>
          <w:bCs/>
        </w:rPr>
      </w:pPr>
      <w:r w:rsidRPr="008C44B5">
        <w:rPr>
          <w:bCs/>
        </w:rPr>
        <w:t xml:space="preserve">Начало работ: с момента заключения договора, окончание работ – </w:t>
      </w:r>
      <w:r w:rsidR="008D51C1" w:rsidRPr="008D51C1">
        <w:rPr>
          <w:bCs/>
        </w:rPr>
        <w:t>31 декабря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lastRenderedPageBreak/>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 xml:space="preserve">является </w:t>
      </w:r>
      <w:r w:rsidR="00622A55" w:rsidRPr="00800F41">
        <w:rPr>
          <w:bCs/>
        </w:rPr>
        <w:lastRenderedPageBreak/>
        <w:t>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w:t>
      </w:r>
      <w:r w:rsidRPr="00800F41">
        <w:rPr>
          <w:bCs/>
        </w:rPr>
        <w:lastRenderedPageBreak/>
        <w:t xml:space="preserve">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lastRenderedPageBreak/>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w:t>
      </w:r>
      <w:r w:rsidRPr="00800F41">
        <w:lastRenderedPageBreak/>
        <w:t xml:space="preserve">(возврата)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 xml:space="preserve">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w:t>
      </w:r>
      <w:r w:rsidRPr="00800F41">
        <w:rPr>
          <w:bCs/>
        </w:rPr>
        <w:lastRenderedPageBreak/>
        <w:t>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lastRenderedPageBreak/>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 xml:space="preserve">Основанием для </w:t>
      </w:r>
      <w:r w:rsidR="003C49C7" w:rsidRPr="00800F41">
        <w:rPr>
          <w:bCs/>
        </w:rPr>
        <w:lastRenderedPageBreak/>
        <w:t>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lastRenderedPageBreak/>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lastRenderedPageBreak/>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lastRenderedPageBreak/>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xml:space="preserve">. Договор </w:t>
      </w:r>
      <w:r w:rsidRPr="00800F41">
        <w:rPr>
          <w:bCs/>
        </w:rPr>
        <w:lastRenderedPageBreak/>
        <w:t>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lastRenderedPageBreak/>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lastRenderedPageBreak/>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lastRenderedPageBreak/>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lastRenderedPageBreak/>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lastRenderedPageBreak/>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BEF" w:rsidRDefault="00BF6BEF">
      <w:r>
        <w:separator/>
      </w:r>
    </w:p>
  </w:endnote>
  <w:endnote w:type="continuationSeparator" w:id="0">
    <w:p w:rsidR="00BF6BEF" w:rsidRDefault="00BF6BEF">
      <w:r>
        <w:continuationSeparator/>
      </w:r>
    </w:p>
  </w:endnote>
  <w:endnote w:type="continuationNotice" w:id="1">
    <w:p w:rsidR="00BF6BEF" w:rsidRDefault="00BF6B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BEF" w:rsidRDefault="00BF6BEF">
      <w:r>
        <w:separator/>
      </w:r>
    </w:p>
  </w:footnote>
  <w:footnote w:type="continuationSeparator" w:id="0">
    <w:p w:rsidR="00BF6BEF" w:rsidRDefault="00BF6BEF">
      <w:r>
        <w:continuationSeparator/>
      </w:r>
    </w:p>
  </w:footnote>
  <w:footnote w:type="continuationNotice" w:id="1">
    <w:p w:rsidR="00BF6BEF" w:rsidRDefault="00BF6BEF">
      <w:pPr>
        <w:spacing w:line="240" w:lineRule="auto"/>
      </w:pPr>
    </w:p>
  </w:footnote>
  <w:footnote w:id="2">
    <w:p w:rsidR="00194A09" w:rsidRDefault="00194A09"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23"/>
  </w:num>
  <w:num w:numId="3">
    <w:abstractNumId w:val="18"/>
  </w:num>
  <w:num w:numId="4">
    <w:abstractNumId w:val="11"/>
  </w:num>
  <w:num w:numId="5">
    <w:abstractNumId w:val="3"/>
  </w:num>
  <w:num w:numId="6">
    <w:abstractNumId w:val="2"/>
  </w:num>
  <w:num w:numId="7">
    <w:abstractNumId w:val="1"/>
  </w:num>
  <w:num w:numId="8">
    <w:abstractNumId w:val="8"/>
  </w:num>
  <w:num w:numId="9">
    <w:abstractNumId w:val="10"/>
  </w:num>
  <w:num w:numId="10">
    <w:abstractNumId w:val="17"/>
  </w:num>
  <w:num w:numId="11">
    <w:abstractNumId w:val="12"/>
  </w:num>
  <w:num w:numId="12">
    <w:abstractNumId w:val="22"/>
  </w:num>
  <w:num w:numId="13">
    <w:abstractNumId w:val="15"/>
  </w:num>
  <w:num w:numId="14">
    <w:abstractNumId w:val="13"/>
  </w:num>
  <w:num w:numId="15">
    <w:abstractNumId w:val="6"/>
  </w:num>
  <w:num w:numId="16">
    <w:abstractNumId w:val="7"/>
  </w:num>
  <w:num w:numId="17">
    <w:abstractNumId w:val="16"/>
  </w:num>
  <w:num w:numId="18">
    <w:abstractNumId w:val="21"/>
  </w:num>
  <w:num w:numId="19">
    <w:abstractNumId w:val="4"/>
  </w:num>
  <w:num w:numId="20">
    <w:abstractNumId w:val="5"/>
  </w:num>
  <w:num w:numId="21">
    <w:abstractNumId w:val="20"/>
  </w:num>
  <w:num w:numId="22">
    <w:abstractNumId w:val="0"/>
  </w:num>
  <w:num w:numId="23">
    <w:abstractNumId w:val="14"/>
  </w:num>
  <w:num w:numId="24">
    <w:abstractNumId w:val="24"/>
  </w:num>
  <w:num w:numId="2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1AF8"/>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04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1BE0"/>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56FC"/>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6E0"/>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A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A54C99B"/>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5EA30-B419-461C-994C-8E5E8EE119A2}">
  <ds:schemaRefs>
    <ds:schemaRef ds:uri="http://schemas.openxmlformats.org/officeDocument/2006/bibliography"/>
  </ds:schemaRefs>
</ds:datastoreItem>
</file>

<file path=customXml/itemProps2.xml><?xml version="1.0" encoding="utf-8"?>
<ds:datastoreItem xmlns:ds="http://schemas.openxmlformats.org/officeDocument/2006/customXml" ds:itemID="{D448B133-A298-400B-B7A4-79DC5F337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31</Pages>
  <Words>14152</Words>
  <Characters>80668</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94631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Коржова Елена Владимировна</cp:lastModifiedBy>
  <cp:revision>101</cp:revision>
  <cp:lastPrinted>2020-07-12T22:33:00Z</cp:lastPrinted>
  <dcterms:created xsi:type="dcterms:W3CDTF">2020-04-07T04:14:00Z</dcterms:created>
  <dcterms:modified xsi:type="dcterms:W3CDTF">2021-01-28T05:11:00Z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