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0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0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0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F17931" w:rsidP="00247914">
      <w:pPr>
        <w:ind w:left="5812" w:hanging="11"/>
      </w:pPr>
      <w:r>
        <w:t>«05</w:t>
      </w:r>
      <w:r w:rsidR="00E9374C">
        <w:t xml:space="preserve">» </w:t>
      </w:r>
      <w:r w:rsidR="007C4A37">
        <w:t>марта</w:t>
      </w:r>
      <w:r w:rsidR="00247914">
        <w:t xml:space="preserve"> </w:t>
      </w:r>
      <w:r w:rsidR="007C4A37">
        <w:t>2021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b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b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</w:t>
            </w:r>
            <w:r w:rsidR="00F17931">
              <w:rPr>
                <w:sz w:val="26"/>
                <w:szCs w:val="26"/>
              </w:rPr>
              <w:t>конкурсе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375137" w:rsidRPr="00AC50DA" w:rsidRDefault="00BA7709" w:rsidP="007C4A37">
            <w:pPr>
              <w:pStyle w:val="ab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F17931" w:rsidRPr="00F17931">
              <w:rPr>
                <w:b/>
                <w:i/>
                <w:sz w:val="26"/>
                <w:szCs w:val="26"/>
              </w:rPr>
              <w:t xml:space="preserve">Расчистка и расширение просеки </w:t>
            </w:r>
            <w:proofErr w:type="spellStart"/>
            <w:r w:rsidR="00F17931" w:rsidRPr="00F17931">
              <w:rPr>
                <w:b/>
                <w:i/>
                <w:sz w:val="26"/>
                <w:szCs w:val="26"/>
              </w:rPr>
              <w:t>Алданского</w:t>
            </w:r>
            <w:proofErr w:type="spellEnd"/>
            <w:r w:rsidR="00F17931" w:rsidRPr="00F17931">
              <w:rPr>
                <w:b/>
                <w:i/>
                <w:sz w:val="26"/>
                <w:szCs w:val="26"/>
              </w:rPr>
              <w:t xml:space="preserve"> и </w:t>
            </w:r>
            <w:proofErr w:type="spellStart"/>
            <w:r w:rsidR="00F17931" w:rsidRPr="00F17931">
              <w:rPr>
                <w:b/>
                <w:i/>
                <w:sz w:val="26"/>
                <w:szCs w:val="26"/>
              </w:rPr>
              <w:t>Томмотского</w:t>
            </w:r>
            <w:proofErr w:type="spellEnd"/>
            <w:r w:rsidR="00F17931" w:rsidRPr="00F17931">
              <w:rPr>
                <w:b/>
                <w:i/>
                <w:sz w:val="26"/>
                <w:szCs w:val="26"/>
              </w:rPr>
              <w:t xml:space="preserve"> районов электрических сетей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  <w:r w:rsidR="00353C7B" w:rsidRPr="00BB4A3A">
              <w:rPr>
                <w:b/>
                <w:sz w:val="26"/>
                <w:szCs w:val="26"/>
              </w:rPr>
              <w:t xml:space="preserve">(Лот № </w:t>
            </w:r>
            <w:r w:rsidR="00F17931">
              <w:rPr>
                <w:b/>
                <w:sz w:val="26"/>
                <w:szCs w:val="26"/>
              </w:rPr>
              <w:t>849</w:t>
            </w:r>
            <w:r w:rsidR="00C80C36">
              <w:rPr>
                <w:b/>
                <w:sz w:val="26"/>
                <w:szCs w:val="26"/>
              </w:rPr>
              <w:t>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</w:tc>
      </w:tr>
    </w:tbl>
    <w:p w:rsidR="0073763E" w:rsidRPr="00247914" w:rsidRDefault="00F17931" w:rsidP="0073763E">
      <w:pPr>
        <w:jc w:val="both"/>
        <w:rPr>
          <w:b/>
          <w:bCs/>
        </w:rPr>
      </w:pPr>
      <w:r>
        <w:rPr>
          <w:b/>
          <w:bCs/>
        </w:rPr>
        <w:t>№ 383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="0073763E"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="0073763E"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>
        <w:rPr>
          <w:b/>
          <w:bCs/>
        </w:rPr>
        <w:t>05</w:t>
      </w:r>
      <w:r w:rsidR="00C80C36">
        <w:rPr>
          <w:b/>
          <w:bCs/>
        </w:rPr>
        <w:t xml:space="preserve"> </w:t>
      </w:r>
      <w:r>
        <w:rPr>
          <w:b/>
          <w:bCs/>
        </w:rPr>
        <w:t>марта 2021</w:t>
      </w:r>
      <w:r w:rsidR="009F5A9D" w:rsidRPr="00BA7709">
        <w:rPr>
          <w:b/>
          <w:bCs/>
        </w:rPr>
        <w:t xml:space="preserve"> г.</w:t>
      </w:r>
      <w:r w:rsidR="0073763E" w:rsidRPr="00BA7709">
        <w:rPr>
          <w:b/>
          <w:bCs/>
        </w:rPr>
        <w:t xml:space="preserve">   </w:t>
      </w:r>
      <w:r w:rsidR="0073763E" w:rsidRPr="00BA7709">
        <w:rPr>
          <w:b/>
          <w:bCs/>
        </w:rPr>
        <w:tab/>
      </w:r>
      <w:r w:rsidR="0073763E" w:rsidRPr="00BA7709">
        <w:rPr>
          <w:b/>
          <w:bCs/>
        </w:rPr>
        <w:tab/>
      </w:r>
      <w:r w:rsidR="0073763E" w:rsidRPr="00BA7709">
        <w:rPr>
          <w:b/>
          <w:bCs/>
        </w:rPr>
        <w:tab/>
      </w:r>
      <w:r w:rsidR="0073763E"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b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b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b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403602">
        <w:rPr>
          <w:sz w:val="24"/>
        </w:rPr>
        <w:t xml:space="preserve">запрос </w:t>
      </w:r>
      <w:r w:rsidR="00C80C36">
        <w:rPr>
          <w:sz w:val="24"/>
        </w:rPr>
        <w:t>котировок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b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F17931">
        <w:rPr>
          <w:sz w:val="24"/>
        </w:rPr>
        <w:t>05.03</w:t>
      </w:r>
      <w:r w:rsidR="007C4A37">
        <w:rPr>
          <w:sz w:val="24"/>
        </w:rPr>
        <w:t>.2021</w:t>
      </w:r>
      <w:r w:rsidR="000D7666">
        <w:rPr>
          <w:sz w:val="24"/>
        </w:rPr>
        <w:t xml:space="preserve"> под № </w:t>
      </w:r>
      <w:r w:rsidR="00F17931" w:rsidRPr="00F17931">
        <w:rPr>
          <w:sz w:val="24"/>
        </w:rPr>
        <w:t>32110055314</w:t>
      </w:r>
    </w:p>
    <w:p w:rsidR="00E30D16" w:rsidRDefault="00E30D16" w:rsidP="009F5A9D">
      <w:pPr>
        <w:pStyle w:val="ab"/>
        <w:spacing w:before="0" w:line="240" w:lineRule="auto"/>
        <w:rPr>
          <w:sz w:val="24"/>
        </w:rPr>
      </w:pPr>
    </w:p>
    <w:p w:rsidR="00E9374C" w:rsidRPr="00095072" w:rsidRDefault="00E30D16" w:rsidP="00E9374C">
      <w:pPr>
        <w:pStyle w:val="ab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2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1843"/>
        <w:gridCol w:w="7512"/>
      </w:tblGrid>
      <w:tr w:rsidR="00E9374C" w:rsidRPr="00BB4A3A" w:rsidTr="00F179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BB4A3A" w:rsidTr="00F179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BB4A3A" w:rsidRDefault="00353C7B" w:rsidP="00247914">
            <w:pPr>
              <w:pStyle w:val="a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 w:rsidRPr="00BB4A3A">
              <w:rPr>
                <w:sz w:val="24"/>
                <w:szCs w:val="24"/>
              </w:rPr>
              <w:t>1.2.1</w:t>
            </w:r>
            <w:r w:rsidR="00B9483F">
              <w:rPr>
                <w:sz w:val="24"/>
                <w:szCs w:val="24"/>
              </w:rPr>
              <w:t>6</w:t>
            </w:r>
          </w:p>
        </w:tc>
        <w:bookmarkEnd w:id="0"/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7F640B" w:rsidRDefault="00F17931" w:rsidP="00EC2AC2">
            <w:pPr>
              <w:pStyle w:val="Tabletext"/>
              <w:tabs>
                <w:tab w:val="left" w:pos="34"/>
              </w:tabs>
              <w:jc w:val="left"/>
              <w:rPr>
                <w:sz w:val="24"/>
              </w:rPr>
            </w:pPr>
            <w:r w:rsidRPr="00F17931">
              <w:rPr>
                <w:sz w:val="24"/>
              </w:rPr>
              <w:t>13.</w:t>
            </w:r>
            <w:r w:rsidRPr="00F17931">
              <w:rPr>
                <w:sz w:val="24"/>
              </w:rPr>
              <w:tab/>
              <w:t>ПРИЛОЖЕНИЕ № 6 - ПОРЯДОК И КРИТЕРИИ ОЦЕНКИ И СОПОСТАВЛЕНИЯ ЗАЯВОК</w:t>
            </w:r>
            <w:bookmarkStart w:id="1" w:name="_GoBack"/>
            <w:bookmarkEnd w:id="1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Default="00F17931" w:rsidP="007C4A37">
            <w:pPr>
              <w:pStyle w:val="ab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>
              <w:rPr>
                <w:sz w:val="24"/>
              </w:rPr>
              <w:t xml:space="preserve">Читать в новой редакции. </w:t>
            </w:r>
          </w:p>
          <w:tbl>
            <w:tblPr>
              <w:tblW w:w="714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850"/>
              <w:gridCol w:w="1884"/>
              <w:gridCol w:w="1974"/>
              <w:gridCol w:w="1685"/>
              <w:gridCol w:w="15"/>
            </w:tblGrid>
            <w:tr w:rsidR="00F17931" w:rsidRPr="007A5AE4" w:rsidTr="00F17931">
              <w:trPr>
                <w:gridAfter w:val="1"/>
                <w:wAfter w:w="15" w:type="dxa"/>
                <w:cantSplit/>
              </w:trPr>
              <w:tc>
                <w:tcPr>
                  <w:tcW w:w="738" w:type="dxa"/>
                  <w:vMerge w:val="restart"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7A5AE4">
                    <w:rPr>
                      <w:rFonts w:eastAsia="Calibri"/>
                      <w:sz w:val="20"/>
                      <w:szCs w:val="20"/>
                    </w:rPr>
                    <w:t>Номер критерия оценки в структуре</w:t>
                  </w:r>
                </w:p>
              </w:tc>
              <w:tc>
                <w:tcPr>
                  <w:tcW w:w="850" w:type="dxa"/>
                  <w:vMerge w:val="restart"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Направление</w:t>
                  </w:r>
                  <w:r w:rsidRPr="007A5AE4">
                    <w:rPr>
                      <w:bCs/>
                      <w:sz w:val="20"/>
                      <w:szCs w:val="20"/>
                    </w:rPr>
                    <w:t xml:space="preserve"> оценки заявок</w:t>
                  </w:r>
                </w:p>
              </w:tc>
              <w:tc>
                <w:tcPr>
                  <w:tcW w:w="3858" w:type="dxa"/>
                  <w:gridSpan w:val="2"/>
                  <w:tcBorders>
                    <w:bottom w:val="single" w:sz="4" w:space="0" w:color="auto"/>
                  </w:tcBorders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7A5AE4">
                    <w:rPr>
                      <w:rFonts w:eastAsia="Calibri"/>
                      <w:sz w:val="20"/>
                      <w:szCs w:val="20"/>
                    </w:rPr>
                    <w:t>Наименование критерия оценки</w:t>
                  </w:r>
                </w:p>
              </w:tc>
              <w:tc>
                <w:tcPr>
                  <w:tcW w:w="1685" w:type="dxa"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widowControl w:val="0"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F17931" w:rsidRPr="007A5AE4" w:rsidTr="00F17931">
              <w:trPr>
                <w:cantSplit/>
              </w:trPr>
              <w:tc>
                <w:tcPr>
                  <w:tcW w:w="738" w:type="dxa"/>
                  <w:vMerge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7A5AE4">
                    <w:rPr>
                      <w:rFonts w:eastAsia="Calibri"/>
                      <w:sz w:val="20"/>
                      <w:szCs w:val="20"/>
                    </w:rPr>
                    <w:t>критерий оценки первого уровня</w:t>
                  </w:r>
                </w:p>
              </w:tc>
              <w:tc>
                <w:tcPr>
                  <w:tcW w:w="1974" w:type="dxa"/>
                  <w:tcBorders>
                    <w:bottom w:val="single" w:sz="4" w:space="0" w:color="auto"/>
                  </w:tcBorders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keepNext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7A5AE4">
                    <w:rPr>
                      <w:rFonts w:eastAsia="Calibri"/>
                      <w:sz w:val="20"/>
                      <w:szCs w:val="20"/>
                    </w:rPr>
                    <w:t>критерий оценки второго уровня</w:t>
                  </w:r>
                </w:p>
              </w:tc>
              <w:tc>
                <w:tcPr>
                  <w:tcW w:w="1700" w:type="dxa"/>
                  <w:gridSpan w:val="2"/>
                  <w:shd w:val="clear" w:color="auto" w:fill="D5DCE4"/>
                  <w:vAlign w:val="center"/>
                </w:tcPr>
                <w:p w:rsidR="00F17931" w:rsidRPr="007A5AE4" w:rsidRDefault="00F17931" w:rsidP="00F17931">
                  <w:pPr>
                    <w:widowControl w:val="0"/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7A5AE4">
                    <w:rPr>
                      <w:rFonts w:eastAsia="Calibri"/>
                      <w:sz w:val="20"/>
                      <w:szCs w:val="20"/>
                    </w:rPr>
                    <w:t>Значимость критерия оценки</w:t>
                  </w:r>
                </w:p>
              </w:tc>
            </w:tr>
            <w:tr w:rsidR="00F17931" w:rsidRPr="00C55B01" w:rsidTr="00F17931">
              <w:tc>
                <w:tcPr>
                  <w:tcW w:w="738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347C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proofErr w:type="spellStart"/>
                  <w:r>
                    <w:rPr>
                      <w:bCs/>
                      <w:sz w:val="22"/>
                      <w:szCs w:val="22"/>
                    </w:rPr>
                    <w:t>Орг</w:t>
                  </w:r>
                  <w:proofErr w:type="spellEnd"/>
                </w:p>
              </w:tc>
              <w:tc>
                <w:tcPr>
                  <w:tcW w:w="18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347C">
                    <w:rPr>
                      <w:bCs/>
                      <w:sz w:val="22"/>
                      <w:szCs w:val="22"/>
                    </w:rPr>
                    <w:t>Цена договора</w:t>
                  </w:r>
                </w:p>
              </w:tc>
              <w:tc>
                <w:tcPr>
                  <w:tcW w:w="197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347C">
                    <w:rPr>
                      <w:bCs/>
                      <w:sz w:val="22"/>
                      <w:szCs w:val="22"/>
                    </w:rPr>
                    <w:t>отсутствует</w:t>
                  </w:r>
                </w:p>
              </w:tc>
              <w:tc>
                <w:tcPr>
                  <w:tcW w:w="170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347C">
                    <w:rPr>
                      <w:bCs/>
                      <w:sz w:val="22"/>
                      <w:szCs w:val="22"/>
                    </w:rPr>
                    <w:t>90%</w:t>
                  </w:r>
                  <w:r w:rsidRPr="00A6347C">
                    <w:rPr>
                      <w:bCs/>
                      <w:sz w:val="22"/>
                      <w:szCs w:val="22"/>
                    </w:rPr>
                    <w:br/>
                    <w:t>(В</w:t>
                  </w:r>
                  <w:r w:rsidRPr="00A6347C">
                    <w:rPr>
                      <w:bCs/>
                      <w:sz w:val="22"/>
                      <w:szCs w:val="22"/>
                      <w:vertAlign w:val="subscript"/>
                    </w:rPr>
                    <w:t>1</w:t>
                  </w:r>
                  <w:r w:rsidRPr="00A6347C">
                    <w:rPr>
                      <w:bCs/>
                      <w:sz w:val="22"/>
                      <w:szCs w:val="22"/>
                    </w:rPr>
                    <w:t xml:space="preserve"> = 0,90)</w:t>
                  </w:r>
                </w:p>
              </w:tc>
            </w:tr>
            <w:tr w:rsidR="00F17931" w:rsidRPr="00C55B01" w:rsidTr="00F17931">
              <w:tc>
                <w:tcPr>
                  <w:tcW w:w="738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Тех</w:t>
                  </w:r>
                </w:p>
              </w:tc>
              <w:tc>
                <w:tcPr>
                  <w:tcW w:w="18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Квалификация (предпочтительность) участника, в том числе коллективного</w:t>
                  </w:r>
                </w:p>
              </w:tc>
              <w:tc>
                <w:tcPr>
                  <w:tcW w:w="197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отсутствует</w:t>
                  </w:r>
                </w:p>
              </w:tc>
              <w:tc>
                <w:tcPr>
                  <w:tcW w:w="170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10%</w:t>
                  </w:r>
                  <w:r w:rsidRPr="00A6347C">
                    <w:rPr>
                      <w:rFonts w:eastAsia="Calibri"/>
                      <w:sz w:val="22"/>
                      <w:szCs w:val="22"/>
                    </w:rPr>
                    <w:br/>
                    <w:t>(В</w:t>
                  </w:r>
                  <w:r w:rsidRPr="00A6347C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Pr="00A6347C">
                    <w:rPr>
                      <w:rFonts w:eastAsia="Calibri"/>
                      <w:sz w:val="22"/>
                      <w:szCs w:val="22"/>
                    </w:rPr>
                    <w:t xml:space="preserve"> = 0,1)</w:t>
                  </w:r>
                </w:p>
              </w:tc>
            </w:tr>
            <w:tr w:rsidR="00F17931" w:rsidRPr="00C55B01" w:rsidTr="00F17931">
              <w:tc>
                <w:tcPr>
                  <w:tcW w:w="738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Тех</w:t>
                  </w:r>
                </w:p>
              </w:tc>
              <w:tc>
                <w:tcPr>
                  <w:tcW w:w="18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A6347C">
                    <w:rPr>
                      <w:i/>
                      <w:sz w:val="22"/>
                      <w:szCs w:val="22"/>
                      <w:lang w:eastAsia="ru-RU"/>
                    </w:rPr>
                    <w:t>отсутствует</w:t>
                  </w:r>
                </w:p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197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sz w:val="22"/>
                      <w:szCs w:val="22"/>
                      <w:lang w:eastAsia="ru-RU"/>
                    </w:rPr>
                    <w:t>Квалификация кадровых ресурсов</w:t>
                  </w:r>
                </w:p>
              </w:tc>
              <w:tc>
                <w:tcPr>
                  <w:tcW w:w="170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F17931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17931">
                    <w:rPr>
                      <w:b/>
                      <w:sz w:val="22"/>
                      <w:szCs w:val="22"/>
                    </w:rPr>
                    <w:t>60</w:t>
                  </w:r>
                  <w:r w:rsidRPr="00F17931">
                    <w:rPr>
                      <w:b/>
                      <w:sz w:val="22"/>
                      <w:szCs w:val="22"/>
                    </w:rPr>
                    <w:t>%</w:t>
                  </w:r>
                  <w:r w:rsidRPr="00F17931">
                    <w:rPr>
                      <w:b/>
                      <w:sz w:val="22"/>
                      <w:szCs w:val="22"/>
                    </w:rPr>
                    <w:br/>
                    <w:t>(В</w:t>
                  </w:r>
                  <w:r w:rsidRPr="00F17931">
                    <w:rPr>
                      <w:b/>
                      <w:sz w:val="22"/>
                      <w:szCs w:val="22"/>
                      <w:vertAlign w:val="subscript"/>
                    </w:rPr>
                    <w:t>2.1</w:t>
                  </w:r>
                  <w:r w:rsidRPr="00F17931">
                    <w:rPr>
                      <w:b/>
                      <w:sz w:val="22"/>
                      <w:szCs w:val="22"/>
                    </w:rPr>
                    <w:t xml:space="preserve"> = 0,60</w:t>
                  </w:r>
                  <w:r w:rsidRPr="00F17931">
                    <w:rPr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F17931" w:rsidRPr="00C55B01" w:rsidTr="00F17931">
              <w:tc>
                <w:tcPr>
                  <w:tcW w:w="738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2.2.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Тех</w:t>
                  </w:r>
                </w:p>
              </w:tc>
              <w:tc>
                <w:tcPr>
                  <w:tcW w:w="18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A6347C">
                    <w:rPr>
                      <w:i/>
                      <w:sz w:val="22"/>
                      <w:szCs w:val="22"/>
                      <w:lang w:eastAsia="ru-RU"/>
                    </w:rPr>
                    <w:t>отсутствует</w:t>
                  </w:r>
                </w:p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7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i/>
                      <w:sz w:val="22"/>
                      <w:szCs w:val="22"/>
                      <w:lang w:eastAsia="ru-RU"/>
                    </w:rPr>
                  </w:pPr>
                  <w:r w:rsidRPr="00A6347C">
                    <w:rPr>
                      <w:bCs/>
                      <w:sz w:val="22"/>
                      <w:szCs w:val="22"/>
                    </w:rPr>
                    <w:t xml:space="preserve">Обеспеченность материально-техническими ресурсами необходимыми </w:t>
                  </w:r>
                  <w:r w:rsidRPr="00A6347C">
                    <w:rPr>
                      <w:bCs/>
                      <w:sz w:val="22"/>
                      <w:szCs w:val="22"/>
                    </w:rPr>
                    <w:lastRenderedPageBreak/>
                    <w:t>для выполнения работ</w:t>
                  </w:r>
                </w:p>
              </w:tc>
              <w:tc>
                <w:tcPr>
                  <w:tcW w:w="170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E346CA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0</w:t>
                  </w:r>
                  <w:r w:rsidRPr="00E346CA">
                    <w:rPr>
                      <w:sz w:val="22"/>
                      <w:szCs w:val="22"/>
                    </w:rPr>
                    <w:t>%</w:t>
                  </w:r>
                  <w:r w:rsidRPr="00E346CA">
                    <w:rPr>
                      <w:sz w:val="22"/>
                      <w:szCs w:val="22"/>
                    </w:rPr>
                    <w:br/>
                    <w:t>(В</w:t>
                  </w:r>
                  <w:r>
                    <w:rPr>
                      <w:sz w:val="22"/>
                      <w:szCs w:val="22"/>
                      <w:vertAlign w:val="subscript"/>
                    </w:rPr>
                    <w:t>2.2</w:t>
                  </w:r>
                  <w:r>
                    <w:rPr>
                      <w:sz w:val="22"/>
                      <w:szCs w:val="22"/>
                    </w:rPr>
                    <w:t xml:space="preserve"> =0</w:t>
                  </w:r>
                  <w:r w:rsidRPr="00E346CA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F17931" w:rsidRPr="00C55B01" w:rsidTr="00F17931">
              <w:tc>
                <w:tcPr>
                  <w:tcW w:w="738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2.3.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17931" w:rsidRPr="00A6347C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A6347C">
                    <w:rPr>
                      <w:rFonts w:eastAsia="Calibri"/>
                      <w:sz w:val="22"/>
                      <w:szCs w:val="22"/>
                    </w:rPr>
                    <w:t>Тех</w:t>
                  </w:r>
                </w:p>
              </w:tc>
              <w:tc>
                <w:tcPr>
                  <w:tcW w:w="18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A6347C">
                    <w:rPr>
                      <w:i/>
                      <w:sz w:val="22"/>
                      <w:szCs w:val="22"/>
                      <w:lang w:eastAsia="ru-RU"/>
                    </w:rPr>
                    <w:t>отсутствует</w:t>
                  </w:r>
                </w:p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i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7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A6347C" w:rsidRDefault="00F17931" w:rsidP="00F17931">
                  <w:pPr>
                    <w:pStyle w:val="3"/>
                    <w:numPr>
                      <w:ilvl w:val="7"/>
                      <w:numId w:val="26"/>
                    </w:numPr>
                    <w:spacing w:before="40" w:after="40" w:line="240" w:lineRule="auto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347C">
                    <w:rPr>
                      <w:sz w:val="22"/>
                      <w:szCs w:val="22"/>
                      <w:lang w:eastAsia="ru-RU"/>
                    </w:rPr>
                    <w:t xml:space="preserve">Опыт выполнения аналогичных договоров </w:t>
                  </w:r>
                </w:p>
              </w:tc>
              <w:tc>
                <w:tcPr>
                  <w:tcW w:w="170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17931" w:rsidRPr="00F17931" w:rsidRDefault="00F17931" w:rsidP="00F17931">
                  <w:pPr>
                    <w:numPr>
                      <w:ilvl w:val="7"/>
                      <w:numId w:val="0"/>
                    </w:num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17931">
                    <w:rPr>
                      <w:b/>
                      <w:sz w:val="22"/>
                      <w:szCs w:val="22"/>
                    </w:rPr>
                    <w:t>4</w:t>
                  </w:r>
                  <w:r w:rsidRPr="00F17931">
                    <w:rPr>
                      <w:b/>
                      <w:sz w:val="22"/>
                      <w:szCs w:val="22"/>
                    </w:rPr>
                    <w:t>0%</w:t>
                  </w:r>
                  <w:r w:rsidRPr="00F17931">
                    <w:rPr>
                      <w:b/>
                      <w:sz w:val="22"/>
                      <w:szCs w:val="22"/>
                    </w:rPr>
                    <w:br/>
                    <w:t>(В</w:t>
                  </w:r>
                  <w:r w:rsidRPr="00F17931">
                    <w:rPr>
                      <w:b/>
                      <w:sz w:val="22"/>
                      <w:szCs w:val="22"/>
                      <w:vertAlign w:val="subscript"/>
                    </w:rPr>
                    <w:t>2.3</w:t>
                  </w:r>
                  <w:r w:rsidRPr="00F17931">
                    <w:rPr>
                      <w:b/>
                      <w:sz w:val="22"/>
                      <w:szCs w:val="22"/>
                    </w:rPr>
                    <w:t xml:space="preserve"> = 0,4</w:t>
                  </w:r>
                  <w:r w:rsidRPr="00F17931">
                    <w:rPr>
                      <w:b/>
                      <w:sz w:val="22"/>
                      <w:szCs w:val="22"/>
                    </w:rPr>
                    <w:t>0)</w:t>
                  </w:r>
                </w:p>
              </w:tc>
            </w:tr>
          </w:tbl>
          <w:p w:rsidR="00F17931" w:rsidRPr="007C4A37" w:rsidRDefault="00F17931" w:rsidP="007C4A37">
            <w:pPr>
              <w:pStyle w:val="ab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</w:p>
        </w:tc>
      </w:tr>
    </w:tbl>
    <w:p w:rsidR="00F17931" w:rsidRDefault="00F17931" w:rsidP="004C07A5">
      <w:pPr>
        <w:pStyle w:val="ab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b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17931" w:rsidRDefault="00F17931" w:rsidP="003E3627">
      <w:pPr>
        <w:rPr>
          <w:sz w:val="14"/>
          <w:szCs w:val="14"/>
        </w:rPr>
      </w:pPr>
    </w:p>
    <w:p w:rsidR="00F17931" w:rsidRPr="00F17931" w:rsidRDefault="00F17931" w:rsidP="003E3627">
      <w:r>
        <w:t xml:space="preserve">Приложение: </w:t>
      </w:r>
      <w:r w:rsidRPr="00F17931">
        <w:t>ПОРЯДОК И КРИТЕРИИ ОЦЕНКИ И СОПОСТАВЛЕНИЯ ЗАЯВОК</w:t>
      </w:r>
      <w:r w:rsidR="00EC2AC2">
        <w:t>.</w:t>
      </w:r>
    </w:p>
    <w:p w:rsidR="00F17931" w:rsidRDefault="00F17931" w:rsidP="003E3627">
      <w:pPr>
        <w:rPr>
          <w:sz w:val="20"/>
          <w:szCs w:val="20"/>
        </w:rPr>
      </w:pPr>
    </w:p>
    <w:p w:rsidR="00F17931" w:rsidRDefault="00F17931" w:rsidP="003E3627">
      <w:pPr>
        <w:rPr>
          <w:sz w:val="20"/>
          <w:szCs w:val="20"/>
        </w:rPr>
      </w:pPr>
    </w:p>
    <w:p w:rsidR="00F17931" w:rsidRDefault="00F17931" w:rsidP="003E3627">
      <w:pPr>
        <w:rPr>
          <w:sz w:val="20"/>
          <w:szCs w:val="20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F17931">
      <w:headerReference w:type="default" r:id="rId9"/>
      <w:pgSz w:w="11906" w:h="16838"/>
      <w:pgMar w:top="1135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CD2" w:rsidRDefault="00A20CD2" w:rsidP="00967AC6">
      <w:r>
        <w:separator/>
      </w:r>
    </w:p>
  </w:endnote>
  <w:endnote w:type="continuationSeparator" w:id="0">
    <w:p w:rsidR="00A20CD2" w:rsidRDefault="00A20CD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CD2" w:rsidRDefault="00A20CD2" w:rsidP="00967AC6">
      <w:r>
        <w:separator/>
      </w:r>
    </w:p>
  </w:footnote>
  <w:footnote w:type="continuationSeparator" w:id="0">
    <w:p w:rsidR="00A20CD2" w:rsidRDefault="00A20CD2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7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F17931">
      <w:rPr>
        <w:i/>
        <w:sz w:val="18"/>
      </w:rPr>
      <w:t>849</w:t>
    </w:r>
    <w:r w:rsidR="00B9483F" w:rsidRPr="00B9483F">
      <w:rPr>
        <w:i/>
        <w:sz w:val="18"/>
      </w:rPr>
      <w:t>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7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9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5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  <w:num w:numId="19">
    <w:abstractNumId w:val="7"/>
  </w:num>
  <w:num w:numId="20">
    <w:abstractNumId w:val="5"/>
  </w:num>
  <w:num w:numId="21">
    <w:abstractNumId w:val="17"/>
  </w:num>
  <w:num w:numId="22">
    <w:abstractNumId w:val="13"/>
  </w:num>
  <w:num w:numId="23">
    <w:abstractNumId w:val="1"/>
  </w:num>
  <w:num w:numId="24">
    <w:abstractNumId w:val="12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1E457E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64B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048E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A37"/>
    <w:rsid w:val="007C4E15"/>
    <w:rsid w:val="007C64F6"/>
    <w:rsid w:val="007D29D3"/>
    <w:rsid w:val="007E1A1E"/>
    <w:rsid w:val="007E246D"/>
    <w:rsid w:val="007E62D5"/>
    <w:rsid w:val="007F0A1D"/>
    <w:rsid w:val="007F640B"/>
    <w:rsid w:val="00805104"/>
    <w:rsid w:val="00807E2A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CD2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6668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47BC3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C2AC2"/>
    <w:rsid w:val="00ED52D6"/>
    <w:rsid w:val="00ED62E4"/>
    <w:rsid w:val="00EE2347"/>
    <w:rsid w:val="00EF3EAD"/>
    <w:rsid w:val="00EF507F"/>
    <w:rsid w:val="00EF6A71"/>
    <w:rsid w:val="00EF7788"/>
    <w:rsid w:val="00F17931"/>
    <w:rsid w:val="00F20057"/>
    <w:rsid w:val="00F20C96"/>
    <w:rsid w:val="00F22AB3"/>
    <w:rsid w:val="00F37E5E"/>
    <w:rsid w:val="00F57A76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CAC55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3"/>
    <w:next w:val="a3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3"/>
    <w:next w:val="a3"/>
    <w:link w:val="21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0">
    <w:name w:val="heading 3"/>
    <w:basedOn w:val="a3"/>
    <w:next w:val="a3"/>
    <w:link w:val="31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4"/>
    <w:link w:val="a7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4"/>
    <w:rsid w:val="00F60214"/>
    <w:rPr>
      <w:color w:val="0000FF"/>
      <w:u w:val="single"/>
    </w:rPr>
  </w:style>
  <w:style w:type="paragraph" w:customStyle="1" w:styleId="aa">
    <w:name w:val="Знак"/>
    <w:basedOn w:val="a3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Number"/>
    <w:basedOn w:val="a3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c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3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4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1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4"/>
    <w:link w:val="20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1">
    <w:name w:val="Пункт"/>
    <w:basedOn w:val="a3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1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3"/>
    <w:link w:val="ae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3"/>
    <w:link w:val="af0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4"/>
    <w:link w:val="30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List Paragraph"/>
    <w:aliases w:val="Алроса_маркер (Уровень 4),Маркер,ПАРАГРАФ,Абзац списка2"/>
    <w:basedOn w:val="a3"/>
    <w:uiPriority w:val="34"/>
    <w:qFormat/>
    <w:rsid w:val="006F65C7"/>
    <w:pPr>
      <w:ind w:left="720"/>
      <w:contextualSpacing/>
    </w:pPr>
  </w:style>
  <w:style w:type="table" w:styleId="af2">
    <w:name w:val="Table Grid"/>
    <w:basedOn w:val="a5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3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3"/>
    <w:next w:val="a3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3"/>
    <w:next w:val="a3"/>
    <w:autoRedefine/>
    <w:uiPriority w:val="39"/>
    <w:semiHidden/>
    <w:unhideWhenUsed/>
    <w:rsid w:val="00D4564E"/>
    <w:pPr>
      <w:spacing w:after="100"/>
    </w:pPr>
  </w:style>
  <w:style w:type="paragraph" w:customStyle="1" w:styleId="a">
    <w:name w:val="УРОВЕНЬ_(а)"/>
    <w:basedOn w:val="af1"/>
    <w:qFormat/>
    <w:rsid w:val="00F17931"/>
    <w:pPr>
      <w:numPr>
        <w:ilvl w:val="3"/>
        <w:numId w:val="25"/>
      </w:numPr>
      <w:spacing w:before="120" w:line="360" w:lineRule="exact"/>
      <w:contextualSpacing w:val="0"/>
      <w:jc w:val="both"/>
      <w:outlineLvl w:val="3"/>
    </w:pPr>
    <w:rPr>
      <w:rFonts w:eastAsiaTheme="minorHAnsi"/>
      <w:sz w:val="26"/>
      <w:szCs w:val="28"/>
      <w:lang w:eastAsia="en-US"/>
    </w:rPr>
  </w:style>
  <w:style w:type="paragraph" w:customStyle="1" w:styleId="-">
    <w:name w:val="УРОВЕНЬ_-"/>
    <w:basedOn w:val="af1"/>
    <w:link w:val="-0"/>
    <w:qFormat/>
    <w:rsid w:val="00F17931"/>
    <w:pPr>
      <w:numPr>
        <w:ilvl w:val="4"/>
        <w:numId w:val="25"/>
      </w:numPr>
      <w:spacing w:before="120" w:line="360" w:lineRule="exact"/>
      <w:contextualSpacing w:val="0"/>
      <w:jc w:val="both"/>
      <w:outlineLvl w:val="4"/>
    </w:pPr>
    <w:rPr>
      <w:rFonts w:eastAsiaTheme="minorHAnsi"/>
      <w:sz w:val="26"/>
      <w:szCs w:val="28"/>
      <w:lang w:eastAsia="en-US"/>
    </w:rPr>
  </w:style>
  <w:style w:type="paragraph" w:customStyle="1" w:styleId="2">
    <w:name w:val="УРОВЕНЬ_Абзац_тип2"/>
    <w:basedOn w:val="af1"/>
    <w:link w:val="22"/>
    <w:qFormat/>
    <w:rsid w:val="00F17931"/>
    <w:pPr>
      <w:numPr>
        <w:ilvl w:val="6"/>
        <w:numId w:val="25"/>
      </w:numPr>
      <w:spacing w:before="120" w:line="360" w:lineRule="exact"/>
      <w:contextualSpacing w:val="0"/>
      <w:jc w:val="both"/>
    </w:pPr>
    <w:rPr>
      <w:rFonts w:eastAsiaTheme="minorHAnsi"/>
      <w:sz w:val="26"/>
      <w:szCs w:val="28"/>
      <w:lang w:eastAsia="en-US"/>
    </w:rPr>
  </w:style>
  <w:style w:type="paragraph" w:customStyle="1" w:styleId="3">
    <w:name w:val="УРОВЕНЬ_Абзац_тип3"/>
    <w:basedOn w:val="af1"/>
    <w:link w:val="32"/>
    <w:qFormat/>
    <w:rsid w:val="00F17931"/>
    <w:pPr>
      <w:numPr>
        <w:ilvl w:val="7"/>
        <w:numId w:val="25"/>
      </w:numPr>
      <w:spacing w:before="120" w:line="360" w:lineRule="exact"/>
      <w:contextualSpacing w:val="0"/>
      <w:jc w:val="both"/>
    </w:pPr>
    <w:rPr>
      <w:rFonts w:eastAsiaTheme="minorHAnsi"/>
      <w:sz w:val="26"/>
      <w:szCs w:val="28"/>
      <w:lang w:eastAsia="en-US"/>
    </w:rPr>
  </w:style>
  <w:style w:type="paragraph" w:customStyle="1" w:styleId="a0">
    <w:name w:val="УРОВЕНЬ_Подпись"/>
    <w:basedOn w:val="af1"/>
    <w:qFormat/>
    <w:rsid w:val="00F17931"/>
    <w:pPr>
      <w:keepNext/>
      <w:numPr>
        <w:ilvl w:val="5"/>
        <w:numId w:val="25"/>
      </w:numPr>
      <w:spacing w:before="120" w:after="120" w:line="360" w:lineRule="exact"/>
      <w:contextualSpacing w:val="0"/>
      <w:jc w:val="right"/>
      <w:outlineLvl w:val="3"/>
    </w:pPr>
    <w:rPr>
      <w:rFonts w:eastAsiaTheme="minorHAnsi"/>
      <w:sz w:val="26"/>
      <w:szCs w:val="28"/>
      <w:lang w:eastAsia="en-US"/>
    </w:rPr>
  </w:style>
  <w:style w:type="character" w:customStyle="1" w:styleId="22">
    <w:name w:val="УРОВЕНЬ_Абзац_тип2 Знак"/>
    <w:link w:val="2"/>
    <w:rsid w:val="00F17931"/>
    <w:rPr>
      <w:rFonts w:ascii="Times New Roman" w:hAnsi="Times New Roman" w:cs="Times New Roman"/>
      <w:sz w:val="26"/>
      <w:szCs w:val="28"/>
    </w:rPr>
  </w:style>
  <w:style w:type="character" w:customStyle="1" w:styleId="32">
    <w:name w:val="УРОВЕНЬ_Абзац_тип3 Знак"/>
    <w:basedOn w:val="a4"/>
    <w:link w:val="3"/>
    <w:rsid w:val="00F17931"/>
    <w:rPr>
      <w:rFonts w:ascii="Times New Roman" w:hAnsi="Times New Roman" w:cs="Times New Roman"/>
      <w:sz w:val="26"/>
      <w:szCs w:val="28"/>
    </w:rPr>
  </w:style>
  <w:style w:type="character" w:customStyle="1" w:styleId="-0">
    <w:name w:val="УРОВЕНЬ_- Знак"/>
    <w:link w:val="-"/>
    <w:rsid w:val="00F17931"/>
    <w:rPr>
      <w:rFonts w:ascii="Times New Roman" w:hAnsi="Times New Roman" w:cs="Times New Roman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2021-03-04T06:19:00Z</cp:lastPrinted>
  <dcterms:created xsi:type="dcterms:W3CDTF">2021-03-05T05:37:00Z</dcterms:created>
  <dcterms:modified xsi:type="dcterms:W3CDTF">2021-03-05T05:48:00Z</dcterms:modified>
</cp:coreProperties>
</file>