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FC620D" w:rsidRPr="009310C3">
        <w:rPr>
          <w:sz w:val="24"/>
          <w:szCs w:val="24"/>
        </w:rPr>
        <w:t>301</w:t>
      </w:r>
      <w:r w:rsidR="005B4D91">
        <w:rPr>
          <w:sz w:val="24"/>
          <w:szCs w:val="24"/>
        </w:rPr>
        <w:t>3</w:t>
      </w:r>
      <w:r w:rsidR="00FC620D" w:rsidRPr="009310C3">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DB09C7">
        <w:rPr>
          <w:b/>
          <w:sz w:val="24"/>
          <w:szCs w:val="24"/>
        </w:rPr>
        <w:t>399</w:t>
      </w:r>
      <w:r w:rsidRPr="009310C3">
        <w:rPr>
          <w:b/>
          <w:sz w:val="24"/>
          <w:szCs w:val="24"/>
        </w:rPr>
        <w:t xml:space="preserve"> /МТПиР                                                                                         </w:t>
      </w:r>
      <w:r>
        <w:rPr>
          <w:b/>
          <w:sz w:val="24"/>
          <w:szCs w:val="24"/>
        </w:rPr>
        <w:t xml:space="preserve">             </w:t>
      </w:r>
      <w:r w:rsidRPr="009310C3">
        <w:rPr>
          <w:b/>
          <w:sz w:val="24"/>
          <w:szCs w:val="24"/>
        </w:rPr>
        <w:t>«</w:t>
      </w:r>
      <w:r w:rsidR="007677A7">
        <w:rPr>
          <w:b/>
          <w:sz w:val="24"/>
          <w:szCs w:val="24"/>
        </w:rPr>
        <w:t>1</w:t>
      </w:r>
      <w:r w:rsidR="00B61A3E">
        <w:rPr>
          <w:b/>
          <w:sz w:val="24"/>
          <w:szCs w:val="24"/>
        </w:rPr>
        <w:t>9</w:t>
      </w:r>
      <w:r w:rsidRPr="009310C3">
        <w:rPr>
          <w:b/>
          <w:sz w:val="24"/>
          <w:szCs w:val="24"/>
        </w:rPr>
        <w:t xml:space="preserve">» </w:t>
      </w:r>
      <w:r w:rsidR="007677A7">
        <w:rPr>
          <w:b/>
          <w:sz w:val="24"/>
          <w:szCs w:val="24"/>
        </w:rPr>
        <w:t>марта</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4A203A" w:rsidRDefault="005B4D91" w:rsidP="005B4D91">
            <w:pPr>
              <w:widowControl w:val="0"/>
              <w:spacing w:after="120"/>
              <w:rPr>
                <w:b/>
              </w:rPr>
            </w:pPr>
            <w:r w:rsidRPr="009310C3">
              <w:rPr>
                <w:bCs/>
                <w:sz w:val="24"/>
                <w:szCs w:val="24"/>
              </w:rPr>
              <w:t xml:space="preserve">лот № </w:t>
            </w:r>
            <w:r w:rsidRPr="009310C3">
              <w:rPr>
                <w:sz w:val="24"/>
                <w:szCs w:val="24"/>
              </w:rPr>
              <w:t>301</w:t>
            </w:r>
            <w:r>
              <w:rPr>
                <w:sz w:val="24"/>
                <w:szCs w:val="24"/>
              </w:rPr>
              <w:t>3</w:t>
            </w:r>
            <w:r w:rsidRPr="009310C3">
              <w:rPr>
                <w:sz w:val="24"/>
                <w:szCs w:val="24"/>
              </w:rPr>
              <w:t xml:space="preserve">01-ТПИР ОНМ-2021-ДРСК: </w:t>
            </w:r>
            <w:r>
              <w:rPr>
                <w:sz w:val="24"/>
                <w:szCs w:val="24"/>
                <w:lang w:eastAsia="en-US"/>
              </w:rPr>
              <w:t>Автогидроподъёмник</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 xml:space="preserve">НМЦ составляет </w:t>
            </w:r>
            <w:r>
              <w:rPr>
                <w:szCs w:val="24"/>
              </w:rPr>
              <w:t>12 750 000,00</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7677A7" w:rsidP="005B4D91">
            <w:pPr>
              <w:widowControl w:val="0"/>
              <w:spacing w:before="0"/>
              <w:rPr>
                <w:b/>
                <w:i/>
              </w:rPr>
            </w:pPr>
            <w:r>
              <w:rPr>
                <w:b/>
                <w:i/>
              </w:rPr>
              <w:t>1</w:t>
            </w:r>
            <w:r w:rsidR="00B61A3E">
              <w:rPr>
                <w:b/>
                <w:i/>
              </w:rPr>
              <w:t>9</w:t>
            </w:r>
            <w:r>
              <w:rPr>
                <w:b/>
                <w:i/>
              </w:rPr>
              <w:t>.03.</w:t>
            </w:r>
            <w:r w:rsidR="005B4D91" w:rsidRPr="00557C7C">
              <w:rPr>
                <w:b/>
                <w:i/>
              </w:rPr>
              <w:t>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B61A3E" w:rsidP="005B4D91">
            <w:pPr>
              <w:pStyle w:val="Tableheader"/>
              <w:widowControl w:val="0"/>
              <w:rPr>
                <w:rFonts w:eastAsia="Lucida Sans Unicode"/>
                <w:b w:val="0"/>
                <w:i/>
                <w:kern w:val="1"/>
                <w:sz w:val="26"/>
                <w:szCs w:val="26"/>
                <w:shd w:val="clear" w:color="auto" w:fill="FFFF99"/>
              </w:rPr>
            </w:pPr>
            <w:r>
              <w:rPr>
                <w:i/>
                <w:sz w:val="26"/>
                <w:szCs w:val="26"/>
              </w:rPr>
              <w:lastRenderedPageBreak/>
              <w:t>30</w:t>
            </w:r>
            <w:r w:rsidR="007677A7">
              <w:rPr>
                <w:i/>
                <w:sz w:val="26"/>
                <w:szCs w:val="26"/>
              </w:rPr>
              <w:t>.03</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B61A3E">
            <w:pPr>
              <w:widowControl w:val="0"/>
              <w:spacing w:after="120"/>
              <w:rPr>
                <w:b/>
                <w:i/>
              </w:rPr>
            </w:pPr>
            <w:r w:rsidRPr="00557C7C">
              <w:rPr>
                <w:b/>
                <w:i/>
              </w:rPr>
              <w:t>«</w:t>
            </w:r>
            <w:r w:rsidR="00B61A3E">
              <w:rPr>
                <w:b/>
                <w:i/>
              </w:rPr>
              <w:t>23</w:t>
            </w:r>
            <w:r w:rsidRPr="00557C7C">
              <w:rPr>
                <w:b/>
                <w:i/>
              </w:rPr>
              <w:t xml:space="preserve">» </w:t>
            </w:r>
            <w:r w:rsidR="007677A7">
              <w:rPr>
                <w:b/>
                <w:i/>
              </w:rPr>
              <w:t>апреля</w:t>
            </w:r>
            <w:r w:rsidRPr="00557C7C">
              <w:rPr>
                <w:b/>
                <w:i/>
              </w:rPr>
              <w:t xml:space="preserve"> 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B61A3E" w:rsidP="005B4D91">
            <w:pPr>
              <w:widowControl w:val="0"/>
              <w:spacing w:after="120"/>
            </w:pPr>
            <w:r>
              <w:rPr>
                <w:b/>
                <w:i/>
              </w:rPr>
              <w:t>26</w:t>
            </w:r>
            <w:r w:rsidR="007677A7">
              <w:rPr>
                <w:b/>
                <w:i/>
              </w:rPr>
              <w:t>.04</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B61A3E" w:rsidP="005B4D91">
            <w:pPr>
              <w:pStyle w:val="afc"/>
              <w:tabs>
                <w:tab w:val="clear" w:pos="1134"/>
                <w:tab w:val="left" w:pos="567"/>
              </w:tabs>
              <w:spacing w:before="120" w:after="120"/>
              <w:rPr>
                <w:szCs w:val="26"/>
              </w:rPr>
            </w:pPr>
            <w:r>
              <w:rPr>
                <w:b/>
                <w:i/>
                <w:szCs w:val="26"/>
              </w:rPr>
              <w:t>04.05</w:t>
            </w:r>
            <w:r w:rsidR="005B4D91" w:rsidRPr="00557C7C">
              <w:rPr>
                <w:b/>
                <w:i/>
                <w:szCs w:val="26"/>
              </w:rPr>
              <w:t>.2021.</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7677A7" w:rsidP="00B61A3E">
            <w:pPr>
              <w:pStyle w:val="afc"/>
              <w:tabs>
                <w:tab w:val="clear" w:pos="1134"/>
                <w:tab w:val="left" w:pos="567"/>
              </w:tabs>
              <w:spacing w:before="0" w:after="120"/>
              <w:rPr>
                <w:i/>
                <w:szCs w:val="26"/>
              </w:rPr>
            </w:pPr>
            <w:r>
              <w:rPr>
                <w:b/>
                <w:i/>
                <w:snapToGrid w:val="0"/>
                <w:szCs w:val="26"/>
              </w:rPr>
              <w:t>0</w:t>
            </w:r>
            <w:r w:rsidR="00B61A3E">
              <w:rPr>
                <w:b/>
                <w:i/>
                <w:snapToGrid w:val="0"/>
                <w:szCs w:val="26"/>
              </w:rPr>
              <w:t>7</w:t>
            </w:r>
            <w:r>
              <w:rPr>
                <w:b/>
                <w:i/>
                <w:snapToGrid w:val="0"/>
                <w:szCs w:val="26"/>
              </w:rPr>
              <w:t>.05</w:t>
            </w:r>
            <w:r w:rsidR="005B4D91" w:rsidRPr="00557C7C">
              <w:rPr>
                <w:b/>
                <w:i/>
                <w:snapToGrid w:val="0"/>
                <w:szCs w:val="26"/>
              </w:rPr>
              <w:t>.2021</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5B4D91" w:rsidRPr="00874261"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5B4D91" w:rsidRPr="00874261">
        <w:rPr>
          <w:sz w:val="28"/>
          <w:szCs w:val="28"/>
        </w:rPr>
        <w:t>Автогидро</w:t>
      </w:r>
      <w:r w:rsidR="005B4D91">
        <w:rPr>
          <w:sz w:val="28"/>
          <w:szCs w:val="28"/>
        </w:rPr>
        <w:t>п</w:t>
      </w:r>
      <w:r w:rsidR="005B4D91" w:rsidRPr="00874261">
        <w:rPr>
          <w:sz w:val="28"/>
          <w:szCs w:val="28"/>
        </w:rPr>
        <w:t>одъёмник</w:t>
      </w:r>
    </w:p>
    <w:p w:rsidR="005B4D91" w:rsidRPr="009D50D3" w:rsidRDefault="005B4D91" w:rsidP="005B4D91">
      <w:pPr>
        <w:jc w:val="center"/>
        <w:rPr>
          <w:bCs/>
          <w:sz w:val="28"/>
          <w:szCs w:val="28"/>
        </w:rPr>
      </w:pPr>
    </w:p>
    <w:p w:rsidR="005B4D91" w:rsidRPr="00C55B01" w:rsidRDefault="005B4D91" w:rsidP="005B4D91">
      <w:pPr>
        <w:jc w:val="center"/>
      </w:pPr>
      <w:r>
        <w:rPr>
          <w:bCs/>
          <w:sz w:val="24"/>
          <w:szCs w:val="24"/>
        </w:rPr>
        <w:t>(</w:t>
      </w:r>
      <w:r w:rsidRPr="009D50D3">
        <w:rPr>
          <w:bCs/>
          <w:sz w:val="24"/>
          <w:szCs w:val="24"/>
        </w:rPr>
        <w:t xml:space="preserve">лот № </w:t>
      </w:r>
      <w:r>
        <w:rPr>
          <w:sz w:val="24"/>
          <w:szCs w:val="24"/>
        </w:rPr>
        <w:t>3013</w:t>
      </w:r>
      <w:r w:rsidRPr="009D50D3">
        <w:rPr>
          <w:sz w:val="24"/>
          <w:szCs w:val="24"/>
        </w:rPr>
        <w:t>01-ТПИР ОНМ-2021-ДРСК</w:t>
      </w:r>
      <w:r>
        <w:rPr>
          <w:sz w:val="24"/>
          <w:szCs w:val="24"/>
        </w:rPr>
        <w:t>)</w:t>
      </w:r>
    </w:p>
    <w:p w:rsidR="00D51C4F" w:rsidRPr="00C55B01" w:rsidRDefault="00D51C4F" w:rsidP="005B4D91">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285E97">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285E97">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285E97">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285E97">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B4D91" w:rsidRPr="00874261" w:rsidRDefault="000B6DC1" w:rsidP="005B4D91">
            <w:pPr>
              <w:jc w:val="left"/>
              <w:rPr>
                <w:bCs/>
                <w:sz w:val="28"/>
                <w:szCs w:val="28"/>
              </w:rPr>
            </w:pPr>
            <w:r w:rsidRPr="009310C3">
              <w:rPr>
                <w:bCs/>
                <w:sz w:val="24"/>
                <w:szCs w:val="24"/>
              </w:rPr>
              <w:t xml:space="preserve">лот № </w:t>
            </w:r>
            <w:r w:rsidRPr="009310C3">
              <w:rPr>
                <w:sz w:val="24"/>
                <w:szCs w:val="24"/>
              </w:rPr>
              <w:t>301</w:t>
            </w:r>
            <w:r w:rsidR="005B4D91">
              <w:rPr>
                <w:sz w:val="24"/>
                <w:szCs w:val="24"/>
              </w:rPr>
              <w:t>3</w:t>
            </w:r>
            <w:r w:rsidRPr="009310C3">
              <w:rPr>
                <w:sz w:val="24"/>
                <w:szCs w:val="24"/>
              </w:rPr>
              <w:t xml:space="preserve">01-ТПИР ОНМ-2021-ДРСК: </w:t>
            </w:r>
            <w:r w:rsidR="005B4D91">
              <w:rPr>
                <w:sz w:val="24"/>
                <w:szCs w:val="24"/>
              </w:rPr>
              <w:t>А</w:t>
            </w:r>
            <w:r w:rsidR="005B4D91" w:rsidRPr="00874261">
              <w:rPr>
                <w:sz w:val="28"/>
                <w:szCs w:val="28"/>
              </w:rPr>
              <w:t>втогидро</w:t>
            </w:r>
            <w:r w:rsidR="005B4D91">
              <w:rPr>
                <w:sz w:val="28"/>
                <w:szCs w:val="28"/>
              </w:rPr>
              <w:t>п</w:t>
            </w:r>
            <w:r w:rsidR="005B4D91" w:rsidRPr="00874261">
              <w:rPr>
                <w:sz w:val="28"/>
                <w:szCs w:val="28"/>
              </w:rPr>
              <w:t>одъёмник</w:t>
            </w:r>
          </w:p>
          <w:p w:rsidR="004010E6" w:rsidRPr="00170004" w:rsidRDefault="004010E6" w:rsidP="005B4D91">
            <w:pPr>
              <w:rPr>
                <w:rStyle w:val="afa"/>
                <w:b w:val="0"/>
                <w:bCs/>
                <w:i w:val="0"/>
                <w:sz w:val="28"/>
                <w:szCs w:val="28"/>
                <w:shd w:val="clear" w:color="auto" w:fill="auto"/>
              </w:rPr>
            </w:pPr>
          </w:p>
        </w:tc>
      </w:tr>
      <w:tr w:rsidR="000B6DC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285E97"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w:t>
            </w:r>
            <w:r w:rsidRPr="00AC3AAD">
              <w:lastRenderedPageBreak/>
              <w:t>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677A7" w:rsidP="00B61A3E">
            <w:pPr>
              <w:rPr>
                <w:rStyle w:val="afa"/>
                <w:b w:val="0"/>
                <w:snapToGrid/>
              </w:rPr>
            </w:pPr>
            <w:r>
              <w:t>1</w:t>
            </w:r>
            <w:r w:rsidR="00B61A3E">
              <w:t>9</w:t>
            </w:r>
            <w:r>
              <w:t>.03</w:t>
            </w:r>
            <w:r w:rsidR="000B6DC1" w:rsidRPr="00B655ED">
              <w:t>.20</w:t>
            </w:r>
            <w:r w:rsidR="000B6DC1">
              <w:t xml:space="preserve">21 </w:t>
            </w:r>
            <w:r w:rsidR="000B6DC1"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5B4D91">
              <w:t>12 750 000,00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 xml:space="preserve">установленной платы с лица, с которым заключается </w:t>
            </w:r>
            <w:r>
              <w:rPr>
                <w:bCs/>
                <w:iCs/>
                <w:sz w:val="26"/>
                <w:szCs w:val="26"/>
              </w:rPr>
              <w:lastRenderedPageBreak/>
              <w:t>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0" w:name="_Ref411279624"/>
            <w:bookmarkStart w:id="61" w:name="_Ref411279603"/>
            <w:r w:rsidRPr="00F6149E">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0"/>
            <w:bookmarkEnd w:id="61"/>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B61A3E" w:rsidP="009A3C20">
            <w:pPr>
              <w:rPr>
                <w:sz w:val="24"/>
                <w:szCs w:val="24"/>
              </w:rPr>
            </w:pPr>
            <w:r>
              <w:rPr>
                <w:sz w:val="24"/>
                <w:szCs w:val="24"/>
              </w:rPr>
              <w:t>30</w:t>
            </w:r>
            <w:r w:rsidR="007677A7">
              <w:rPr>
                <w:sz w:val="24"/>
                <w:szCs w:val="24"/>
              </w:rPr>
              <w:t>.03</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9A3C20">
            <w:pPr>
              <w:spacing w:before="0"/>
              <w:rPr>
                <w:sz w:val="24"/>
                <w:szCs w:val="24"/>
              </w:rPr>
            </w:pPr>
            <w:r w:rsidRPr="006A7ADF">
              <w:rPr>
                <w:sz w:val="24"/>
                <w:szCs w:val="24"/>
              </w:rPr>
              <w:t>Дата начала подачи заявок:</w:t>
            </w:r>
          </w:p>
          <w:p w:rsidR="009A3C20" w:rsidRPr="009A3C20" w:rsidRDefault="007677A7" w:rsidP="009A3C20">
            <w:pPr>
              <w:spacing w:before="0"/>
              <w:rPr>
                <w:b/>
                <w:i/>
                <w:sz w:val="24"/>
                <w:szCs w:val="24"/>
              </w:rPr>
            </w:pPr>
            <w:r>
              <w:rPr>
                <w:b/>
                <w:i/>
                <w:sz w:val="24"/>
                <w:szCs w:val="24"/>
              </w:rPr>
              <w:t>1</w:t>
            </w:r>
            <w:r w:rsidR="00B61A3E">
              <w:rPr>
                <w:b/>
                <w:i/>
                <w:sz w:val="24"/>
                <w:szCs w:val="24"/>
              </w:rPr>
              <w:t>9</w:t>
            </w:r>
            <w:r>
              <w:rPr>
                <w:b/>
                <w:i/>
                <w:sz w:val="24"/>
                <w:szCs w:val="24"/>
              </w:rPr>
              <w:t>.03</w:t>
            </w:r>
            <w:r w:rsidR="009A3C20" w:rsidRPr="009A3C20">
              <w:rPr>
                <w:b/>
                <w:i/>
                <w:sz w:val="24"/>
                <w:szCs w:val="24"/>
              </w:rPr>
              <w:t>.2021</w:t>
            </w:r>
          </w:p>
          <w:p w:rsidR="009A3C20" w:rsidRPr="006A7ADF" w:rsidRDefault="009A3C20" w:rsidP="009A3C20">
            <w:pPr>
              <w:spacing w:before="0"/>
              <w:rPr>
                <w:sz w:val="24"/>
                <w:szCs w:val="24"/>
              </w:rPr>
            </w:pPr>
            <w:r w:rsidRPr="006A7ADF">
              <w:rPr>
                <w:sz w:val="24"/>
                <w:szCs w:val="24"/>
              </w:rPr>
              <w:t>Дата и время окончания срока подачи заявок:</w:t>
            </w:r>
          </w:p>
          <w:p w:rsidR="007F6664" w:rsidRPr="003A4D98" w:rsidRDefault="00B61A3E" w:rsidP="00DA2058">
            <w:pPr>
              <w:pStyle w:val="Tableheader"/>
              <w:widowControl w:val="0"/>
              <w:rPr>
                <w:rStyle w:val="afa"/>
                <w:b/>
                <w:i w:val="0"/>
                <w:snapToGrid w:val="0"/>
                <w:sz w:val="26"/>
                <w:szCs w:val="26"/>
                <w:shd w:val="clear" w:color="auto" w:fill="auto"/>
              </w:rPr>
            </w:pPr>
            <w:r>
              <w:rPr>
                <w:i/>
                <w:sz w:val="24"/>
              </w:rPr>
              <w:t>30</w:t>
            </w:r>
            <w:r w:rsidR="007677A7">
              <w:rPr>
                <w:i/>
                <w:sz w:val="24"/>
              </w:rPr>
              <w:t>.03</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(по местному времени Организатора)</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w:t>
            </w:r>
            <w:r w:rsidRPr="009813E5">
              <w:rPr>
                <w:sz w:val="26"/>
                <w:szCs w:val="26"/>
              </w:rPr>
              <w:lastRenderedPageBreak/>
              <w:t>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B61A3E">
            <w:pPr>
              <w:pStyle w:val="afc"/>
              <w:tabs>
                <w:tab w:val="clear" w:pos="1134"/>
                <w:tab w:val="left" w:pos="567"/>
              </w:tabs>
              <w:spacing w:before="120" w:after="120"/>
              <w:rPr>
                <w:b/>
                <w:i/>
                <w:szCs w:val="28"/>
              </w:rPr>
            </w:pPr>
            <w:r w:rsidRPr="00DA2058">
              <w:rPr>
                <w:b/>
                <w:i/>
              </w:rPr>
              <w:t>«</w:t>
            </w:r>
            <w:r w:rsidR="00B61A3E">
              <w:rPr>
                <w:b/>
                <w:i/>
              </w:rPr>
              <w:t>23</w:t>
            </w:r>
            <w:r w:rsidRPr="00DA2058">
              <w:rPr>
                <w:b/>
                <w:i/>
              </w:rPr>
              <w:t xml:space="preserve">» </w:t>
            </w:r>
            <w:r w:rsidR="007677A7">
              <w:rPr>
                <w:b/>
                <w:i/>
              </w:rPr>
              <w:t>апреля</w:t>
            </w:r>
            <w:r w:rsidRPr="00DA2058">
              <w:rPr>
                <w:b/>
                <w:i/>
              </w:rPr>
              <w:t xml:space="preserve"> 2021 г.</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B61A3E" w:rsidP="009A3C20">
            <w:pPr>
              <w:widowControl w:val="0"/>
              <w:spacing w:after="120"/>
            </w:pPr>
            <w:r>
              <w:rPr>
                <w:b/>
                <w:i/>
              </w:rPr>
              <w:t>26</w:t>
            </w:r>
            <w:r w:rsidR="007677A7">
              <w:rPr>
                <w:b/>
                <w:i/>
              </w:rPr>
              <w:t>.04</w:t>
            </w:r>
            <w:r w:rsidR="009A3C20" w:rsidRPr="009A3C20">
              <w:rPr>
                <w:b/>
                <w:i/>
              </w:rPr>
              <w:t>.2021 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32067169"/>
          </w:p>
        </w:tc>
        <w:bookmarkEnd w:id="70"/>
        <w:tc>
          <w:tcPr>
            <w:tcW w:w="2693"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B61A3E" w:rsidP="00F6149E">
            <w:pPr>
              <w:pStyle w:val="afc"/>
              <w:tabs>
                <w:tab w:val="clear" w:pos="1134"/>
                <w:tab w:val="left" w:pos="567"/>
              </w:tabs>
              <w:spacing w:before="0" w:after="120"/>
              <w:rPr>
                <w:szCs w:val="26"/>
              </w:rPr>
            </w:pPr>
            <w:r>
              <w:rPr>
                <w:b/>
                <w:i/>
              </w:rPr>
              <w:t>04.05.</w:t>
            </w:r>
            <w:r w:rsidR="009A3C20">
              <w:rPr>
                <w:b/>
                <w:i/>
              </w:rPr>
              <w:t>2021</w:t>
            </w:r>
            <w:r w:rsidR="009A3C20" w:rsidRPr="002D4188">
              <w:rPr>
                <w:b/>
                <w:i/>
              </w:rPr>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w:t>
            </w:r>
            <w:bookmarkStart w:id="73" w:name="_GoBack"/>
            <w:bookmarkEnd w:id="73"/>
            <w:r w:rsidRPr="00BA04C6">
              <w:t>акупки:</w:t>
            </w:r>
          </w:p>
          <w:p w:rsidR="00F6149E" w:rsidRPr="009A3C20" w:rsidRDefault="007677A7" w:rsidP="00B61A3E">
            <w:pPr>
              <w:pStyle w:val="afc"/>
              <w:tabs>
                <w:tab w:val="clear" w:pos="1134"/>
                <w:tab w:val="left" w:pos="567"/>
              </w:tabs>
              <w:spacing w:before="0" w:after="120"/>
              <w:rPr>
                <w:i/>
                <w:szCs w:val="28"/>
              </w:rPr>
            </w:pPr>
            <w:r>
              <w:rPr>
                <w:b/>
                <w:i/>
                <w:snapToGrid w:val="0"/>
                <w:szCs w:val="26"/>
              </w:rPr>
              <w:t>0</w:t>
            </w:r>
            <w:r w:rsidR="00B61A3E">
              <w:rPr>
                <w:b/>
                <w:i/>
                <w:snapToGrid w:val="0"/>
                <w:szCs w:val="26"/>
              </w:rPr>
              <w:t>7</w:t>
            </w:r>
            <w:r>
              <w:rPr>
                <w:b/>
                <w:i/>
                <w:snapToGrid w:val="0"/>
                <w:szCs w:val="26"/>
              </w:rPr>
              <w:t>.05</w:t>
            </w:r>
            <w:r w:rsidR="009A3C20" w:rsidRPr="009A3C20">
              <w:rPr>
                <w:b/>
                <w:i/>
                <w:snapToGrid w:val="0"/>
                <w:szCs w:val="26"/>
              </w:rPr>
              <w:t>.2021</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lastRenderedPageBreak/>
              <w:t>Не предоставляется</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F6149E" w:rsidRPr="008C0DD3" w:rsidRDefault="00F6149E" w:rsidP="00F6149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t>Один победитель</w:t>
            </w:r>
          </w:p>
          <w:p w:rsidR="00F6149E" w:rsidRPr="00CF7333" w:rsidRDefault="00F6149E" w:rsidP="00F6149E">
            <w:pPr>
              <w:spacing w:after="120"/>
              <w:rPr>
                <w:i/>
                <w:shd w:val="clear" w:color="auto" w:fill="FFFF99"/>
              </w:rPr>
            </w:pPr>
          </w:p>
        </w:tc>
      </w:tr>
      <w:tr w:rsidR="00F6149E"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285E97"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E97" w:rsidRDefault="00285E97">
      <w:r>
        <w:separator/>
      </w:r>
    </w:p>
  </w:endnote>
  <w:endnote w:type="continuationSeparator" w:id="0">
    <w:p w:rsidR="00285E97" w:rsidRDefault="0028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1A3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1A3E">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1A3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1A3E">
      <w:rPr>
        <w:i/>
        <w:noProof/>
        <w:sz w:val="24"/>
        <w:szCs w:val="24"/>
      </w:rPr>
      <w:t>137</w:t>
    </w:r>
    <w:r w:rsidRPr="00B54ABF">
      <w:rPr>
        <w:i/>
        <w:sz w:val="24"/>
        <w:szCs w:val="24"/>
      </w:rPr>
      <w:fldChar w:fldCharType="end"/>
    </w:r>
  </w:p>
  <w:p w:rsidR="009A3C20" w:rsidRDefault="009A3C2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1A3E">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1A3E">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1A3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1A3E">
      <w:rPr>
        <w:i/>
        <w:noProof/>
        <w:sz w:val="24"/>
        <w:szCs w:val="24"/>
      </w:rPr>
      <w:t>137</w:t>
    </w:r>
    <w:r w:rsidRPr="00B54ABF">
      <w:rPr>
        <w:i/>
        <w:sz w:val="24"/>
        <w:szCs w:val="24"/>
      </w:rPr>
      <w:fldChar w:fldCharType="end"/>
    </w:r>
  </w:p>
  <w:p w:rsidR="009A3C20" w:rsidRDefault="009A3C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E97" w:rsidRDefault="00285E97">
      <w:r>
        <w:separator/>
      </w:r>
    </w:p>
  </w:footnote>
  <w:footnote w:type="continuationSeparator" w:id="0">
    <w:p w:rsidR="00285E97" w:rsidRDefault="00285E97">
      <w:r>
        <w:continuationSeparator/>
      </w:r>
    </w:p>
  </w:footnote>
  <w:footnote w:id="1">
    <w:p w:rsidR="009A3C20" w:rsidRDefault="009A3C20"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9A3C20" w:rsidRDefault="009A3C2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9A3C20" w:rsidRDefault="009A3C2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9A3C20" w:rsidRDefault="009A3C2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9A3C20" w:rsidRDefault="009A3C2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9A3C20" w:rsidRDefault="009A3C2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9A3C20" w:rsidRDefault="009A3C20"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9A3C20" w:rsidRDefault="009A3C20">
      <w:pPr>
        <w:pStyle w:val="af0"/>
      </w:pPr>
      <w:r>
        <w:rPr>
          <w:rStyle w:val="ab"/>
        </w:rPr>
        <w:footnoteRef/>
      </w:r>
      <w:r>
        <w:t xml:space="preserve"> Опись составляется отдельно для каждой части заявки.</w:t>
      </w:r>
    </w:p>
  </w:footnote>
  <w:footnote w:id="9">
    <w:p w:rsidR="009A3C20" w:rsidRDefault="009A3C2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9A3C20" w:rsidRDefault="009A3C2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9A3C20" w:rsidRDefault="009A3C2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9A3C20" w:rsidRDefault="009A3C20"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9A3C20" w:rsidRDefault="009A3C20"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9A3C20" w:rsidRDefault="009A3C20"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9A3C20" w:rsidRDefault="009A3C20" w:rsidP="00BD7FE3">
      <w:pPr>
        <w:pStyle w:val="af0"/>
      </w:pPr>
      <w:r>
        <w:rPr>
          <w:rStyle w:val="ab"/>
        </w:rPr>
        <w:footnoteRef/>
      </w:r>
      <w:r>
        <w:t xml:space="preserve"> В зависимости от срока государственной регистрации Участника.</w:t>
      </w:r>
    </w:p>
  </w:footnote>
  <w:footnote w:id="16">
    <w:p w:rsidR="009A3C20" w:rsidRDefault="009A3C2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9A3C20" w:rsidRDefault="009A3C2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9A3C20" w:rsidRDefault="009A3C2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9A3C20" w:rsidRDefault="009A3C20"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9A3C20" w:rsidRDefault="009A3C20"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9A3C20" w:rsidRDefault="009A3C20"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9A3C20" w:rsidRDefault="009A3C20"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9A3C20" w:rsidRDefault="009A3C2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9A3C20" w:rsidRDefault="009A3C2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9A3C20" w:rsidRDefault="009A3C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9A3C20" w:rsidRDefault="009A3C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9A3C20" w:rsidRDefault="009A3C2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9A3C20" w:rsidRDefault="009A3C20"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9A3C20" w:rsidRDefault="009A3C20"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9A3C20" w:rsidRDefault="009A3C20">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9A3C20" w:rsidRDefault="009A3C20">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9A3C20" w:rsidRDefault="009A3C2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9A3C20" w:rsidRPr="00033B77" w:rsidRDefault="009A3C2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9A3C20" w:rsidRDefault="009A3C2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3F36"/>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5E97"/>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A7"/>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016"/>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A3E"/>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09C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F6455"/>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31FC-4733-416A-8300-F31EE43B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137</Pages>
  <Words>36874</Words>
  <Characters>210185</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42</cp:revision>
  <cp:lastPrinted>2017-12-27T16:39:00Z</cp:lastPrinted>
  <dcterms:created xsi:type="dcterms:W3CDTF">2020-08-27T11:27:00Z</dcterms:created>
  <dcterms:modified xsi:type="dcterms:W3CDTF">2021-03-19T00:24:00Z</dcterms:modified>
</cp:coreProperties>
</file>