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6A54A2" w:rsidRDefault="00884B5C" w:rsidP="006A54A2">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6A54A2">
        <w:rPr>
          <w:sz w:val="24"/>
          <w:szCs w:val="24"/>
        </w:rPr>
        <w:t xml:space="preserve">действующего на основании </w:t>
      </w:r>
      <w:r w:rsidR="008C44B5" w:rsidRPr="006A54A2">
        <w:rPr>
          <w:sz w:val="24"/>
          <w:szCs w:val="24"/>
        </w:rPr>
        <w:t>____________________________</w:t>
      </w:r>
      <w:r w:rsidR="00495E85" w:rsidRPr="006A54A2">
        <w:rPr>
          <w:sz w:val="24"/>
          <w:szCs w:val="24"/>
        </w:rPr>
        <w:t xml:space="preserve"> (далее – «Подрядчик»)</w:t>
      </w:r>
    </w:p>
    <w:p w:rsidR="006A54A2" w:rsidRPr="006A54A2" w:rsidRDefault="002C069D" w:rsidP="006A54A2">
      <w:pPr>
        <w:widowControl w:val="0"/>
        <w:spacing w:line="240" w:lineRule="auto"/>
        <w:ind w:firstLine="709"/>
        <w:contextualSpacing/>
        <w:rPr>
          <w:sz w:val="24"/>
          <w:szCs w:val="24"/>
        </w:rPr>
      </w:pPr>
      <w:r w:rsidRPr="006A54A2">
        <w:rPr>
          <w:sz w:val="24"/>
          <w:szCs w:val="24"/>
        </w:rPr>
        <w:t xml:space="preserve">совместно в дальнейшем именуемые «Стороны», а по отдельности – «Сторона», </w:t>
      </w:r>
      <w:r w:rsidR="001D2676" w:rsidRPr="006A54A2">
        <w:rPr>
          <w:sz w:val="24"/>
          <w:szCs w:val="24"/>
        </w:rPr>
        <w:t xml:space="preserve">по результатам </w:t>
      </w:r>
      <w:r w:rsidR="00422086" w:rsidRPr="006A54A2">
        <w:rPr>
          <w:sz w:val="24"/>
          <w:szCs w:val="24"/>
        </w:rPr>
        <w:t>проведенной</w:t>
      </w:r>
      <w:r w:rsidR="001D2676" w:rsidRPr="006A54A2">
        <w:rPr>
          <w:sz w:val="24"/>
          <w:szCs w:val="24"/>
        </w:rPr>
        <w:t xml:space="preserve"> Заказчиком </w:t>
      </w:r>
      <w:r w:rsidR="00422086" w:rsidRPr="006A54A2">
        <w:rPr>
          <w:sz w:val="24"/>
          <w:szCs w:val="24"/>
        </w:rPr>
        <w:t>конкурентной процедуры</w:t>
      </w:r>
      <w:r w:rsidR="00A02E92" w:rsidRPr="006A54A2">
        <w:rPr>
          <w:sz w:val="24"/>
          <w:szCs w:val="24"/>
        </w:rPr>
        <w:t xml:space="preserve"> </w:t>
      </w:r>
      <w:r w:rsidR="00FF200A" w:rsidRPr="006A54A2">
        <w:rPr>
          <w:sz w:val="24"/>
          <w:szCs w:val="24"/>
        </w:rPr>
        <w:t xml:space="preserve">на право заключения договора </w:t>
      </w:r>
      <w:r w:rsidR="006A54A2" w:rsidRPr="006A54A2">
        <w:rPr>
          <w:b/>
          <w:i/>
          <w:sz w:val="24"/>
          <w:szCs w:val="24"/>
        </w:rPr>
        <w:t>Расширение и чистка просек для Чугуевского, Анучинского и Яковлевского РЭС СП ПСЭС</w:t>
      </w:r>
    </w:p>
    <w:p w:rsidR="00AB7F51" w:rsidRPr="006A54A2" w:rsidRDefault="00FB6618" w:rsidP="006A54A2">
      <w:pPr>
        <w:pStyle w:val="32"/>
        <w:ind w:firstLine="709"/>
        <w:rPr>
          <w:color w:val="auto"/>
          <w:lang w:val="ru-RU"/>
        </w:rPr>
      </w:pPr>
      <w:r w:rsidRPr="006A54A2">
        <w:rPr>
          <w:color w:val="auto"/>
          <w:lang w:val="ru-RU"/>
        </w:rPr>
        <w:t xml:space="preserve">в рамках закупки </w:t>
      </w:r>
      <w:r w:rsidR="008C44B5" w:rsidRPr="006A54A2">
        <w:rPr>
          <w:color w:val="auto"/>
          <w:lang w:val="ru-RU"/>
        </w:rPr>
        <w:t>_____________________________________</w:t>
      </w:r>
      <w:r w:rsidRPr="006A54A2">
        <w:rPr>
          <w:color w:val="auto"/>
          <w:lang w:val="ru-RU"/>
        </w:rPr>
        <w:t xml:space="preserve">, </w:t>
      </w:r>
      <w:r w:rsidR="00AB7F51" w:rsidRPr="006A54A2">
        <w:rPr>
          <w:color w:val="auto"/>
        </w:rPr>
        <w:t xml:space="preserve">заключили настоящий </w:t>
      </w:r>
      <w:r w:rsidR="00AB4A01" w:rsidRPr="006A54A2">
        <w:rPr>
          <w:color w:val="auto"/>
        </w:rPr>
        <w:t xml:space="preserve">договор (далее – </w:t>
      </w:r>
      <w:r w:rsidR="000B4A55" w:rsidRPr="006A54A2">
        <w:rPr>
          <w:color w:val="auto"/>
        </w:rPr>
        <w:t>«</w:t>
      </w:r>
      <w:r w:rsidR="00AB7F51" w:rsidRPr="006A54A2">
        <w:rPr>
          <w:color w:val="auto"/>
        </w:rPr>
        <w:t>Договор</w:t>
      </w:r>
      <w:r w:rsidR="000B4A55" w:rsidRPr="006A54A2">
        <w:rPr>
          <w:color w:val="auto"/>
        </w:rPr>
        <w:t>»</w:t>
      </w:r>
      <w:r w:rsidR="00AB4A01" w:rsidRPr="006A54A2">
        <w:rPr>
          <w:color w:val="auto"/>
        </w:rPr>
        <w:t>)</w:t>
      </w:r>
      <w:r w:rsidR="00AB7F51" w:rsidRPr="006A54A2">
        <w:rPr>
          <w:color w:val="auto"/>
        </w:rPr>
        <w:t xml:space="preserve"> о нижеследующем:</w:t>
      </w:r>
    </w:p>
    <w:p w:rsidR="00925214" w:rsidRPr="006A54A2" w:rsidRDefault="00925214" w:rsidP="006A54A2">
      <w:pPr>
        <w:pStyle w:val="af"/>
        <w:shd w:val="clear" w:color="auto" w:fill="FFFFFF"/>
        <w:tabs>
          <w:tab w:val="left" w:pos="284"/>
        </w:tabs>
        <w:ind w:left="0" w:firstLine="709"/>
        <w:jc w:val="both"/>
        <w:rPr>
          <w:b/>
          <w:bCs/>
        </w:rPr>
      </w:pPr>
      <w:r w:rsidRPr="006A54A2">
        <w:rPr>
          <w:b/>
          <w:bCs/>
        </w:rPr>
        <w:t>Термины и определения</w:t>
      </w:r>
    </w:p>
    <w:p w:rsidR="00925214" w:rsidRPr="00800F41" w:rsidRDefault="00925214" w:rsidP="006A54A2">
      <w:pPr>
        <w:pStyle w:val="32"/>
        <w:ind w:firstLine="709"/>
        <w:rPr>
          <w:color w:val="auto"/>
          <w:lang w:val="ru-RU"/>
        </w:rPr>
      </w:pPr>
      <w:r w:rsidRPr="006A54A2">
        <w:rPr>
          <w:color w:val="auto"/>
          <w:lang w:val="ru-RU"/>
        </w:rPr>
        <w:t>Термины</w:t>
      </w:r>
      <w:r w:rsidR="00221F81" w:rsidRPr="006A54A2">
        <w:rPr>
          <w:color w:val="auto"/>
          <w:lang w:val="ru-RU"/>
        </w:rPr>
        <w:t xml:space="preserve"> и определения</w:t>
      </w:r>
      <w:r w:rsidRPr="006A54A2">
        <w:rPr>
          <w:color w:val="auto"/>
          <w:lang w:val="ru-RU"/>
        </w:rPr>
        <w:t xml:space="preserve">, </w:t>
      </w:r>
      <w:r w:rsidR="00A26DCC" w:rsidRPr="006A54A2">
        <w:rPr>
          <w:color w:val="auto"/>
          <w:lang w:val="ru-RU"/>
        </w:rPr>
        <w:t>приведенные</w:t>
      </w:r>
      <w:r w:rsidRPr="006A54A2">
        <w:rPr>
          <w:color w:val="auto"/>
          <w:lang w:val="ru-RU"/>
        </w:rPr>
        <w:t xml:space="preserve"> в настоящем </w:t>
      </w:r>
      <w:r w:rsidR="00A26DCC" w:rsidRPr="006A54A2">
        <w:rPr>
          <w:color w:val="auto"/>
          <w:lang w:val="ru-RU"/>
        </w:rPr>
        <w:t>разделе</w:t>
      </w:r>
      <w:r w:rsidRPr="006A54A2">
        <w:rPr>
          <w:color w:val="auto"/>
          <w:lang w:val="ru-RU"/>
        </w:rPr>
        <w:t xml:space="preserve">, </w:t>
      </w:r>
      <w:r w:rsidR="00221F81" w:rsidRPr="006A54A2">
        <w:rPr>
          <w:color w:val="auto"/>
          <w:lang w:val="ru-RU"/>
        </w:rPr>
        <w:t>предназначены для одноз</w:t>
      </w:r>
      <w:r w:rsidR="006E4BB6" w:rsidRPr="006A54A2">
        <w:rPr>
          <w:color w:val="auto"/>
          <w:lang w:val="ru-RU"/>
        </w:rPr>
        <w:t>начного понимания формулировок</w:t>
      </w:r>
      <w:r w:rsidR="00221F81" w:rsidRPr="006A54A2">
        <w:rPr>
          <w:color w:val="auto"/>
          <w:lang w:val="ru-RU"/>
        </w:rPr>
        <w:t xml:space="preserve"> Договора</w:t>
      </w:r>
      <w:r w:rsidR="00221F81" w:rsidRPr="00800F41">
        <w:rPr>
          <w:color w:val="auto"/>
          <w:lang w:val="ru-RU"/>
        </w:rPr>
        <w:t xml:space="preserve">,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995D5B" w:rsidRDefault="004B090F" w:rsidP="001608F0">
      <w:pPr>
        <w:pStyle w:val="a"/>
        <w:numPr>
          <w:ilvl w:val="1"/>
          <w:numId w:val="3"/>
        </w:numPr>
        <w:tabs>
          <w:tab w:val="left" w:pos="0"/>
          <w:tab w:val="left" w:pos="993"/>
        </w:tabs>
        <w:autoSpaceDE w:val="0"/>
        <w:autoSpaceDN w:val="0"/>
        <w:ind w:left="0" w:firstLine="142"/>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w:t>
      </w:r>
      <w:r w:rsidR="00AB7F51" w:rsidRPr="003F7E60">
        <w:rPr>
          <w:bCs/>
        </w:rPr>
        <w:t xml:space="preserve">по </w:t>
      </w:r>
      <w:r w:rsidR="00FF200A" w:rsidRPr="003F7E60">
        <w:rPr>
          <w:b/>
          <w:bCs/>
        </w:rPr>
        <w:t>«</w:t>
      </w:r>
      <w:r w:rsidR="006A54A2" w:rsidRPr="006A54A2">
        <w:rPr>
          <w:b/>
          <w:i/>
        </w:rPr>
        <w:t>Расширение и чистка просек для Чугуевского, Анучинского и Яковлевского РЭС СП ПСЭС</w:t>
      </w:r>
      <w:r w:rsidR="00995D5B" w:rsidRPr="003F7E60">
        <w:rPr>
          <w:b/>
        </w:rPr>
        <w:t xml:space="preserve">» </w:t>
      </w:r>
      <w:r w:rsidR="00226447" w:rsidRPr="003F7E60">
        <w:rPr>
          <w:bCs/>
        </w:rPr>
        <w:t>(далее</w:t>
      </w:r>
      <w:r w:rsidR="00226447" w:rsidRPr="00995D5B">
        <w:rPr>
          <w:bCs/>
        </w:rPr>
        <w:t xml:space="preserve">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1608F0">
      <w:pPr>
        <w:pStyle w:val="af"/>
        <w:numPr>
          <w:ilvl w:val="1"/>
          <w:numId w:val="3"/>
        </w:numPr>
        <w:shd w:val="clear" w:color="auto" w:fill="FFFFFF"/>
        <w:tabs>
          <w:tab w:val="left" w:pos="1134"/>
        </w:tabs>
        <w:ind w:left="0" w:firstLine="142"/>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DE4BC5"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6A54A2" w:rsidRPr="006A54A2" w:rsidRDefault="006A54A2" w:rsidP="006A54A2">
      <w:pPr>
        <w:pStyle w:val="af"/>
        <w:ind w:left="0" w:firstLine="567"/>
        <w:jc w:val="both"/>
      </w:pPr>
      <w:r w:rsidRPr="006A54A2">
        <w:t>1.1.</w:t>
      </w:r>
      <w:r w:rsidRPr="006A54A2">
        <w:rPr>
          <w:b/>
        </w:rPr>
        <w:t xml:space="preserve"> ВЛ 35 кВ Уборка – Самарка (ЛЭП-35 УБОРКА-САМАРКА L=42.33КМ), инв. № PR0010445</w:t>
      </w:r>
      <w:r w:rsidRPr="006A54A2">
        <w:t xml:space="preserve"> проходит по территории Чугуевского муниципального района ПК.</w:t>
      </w:r>
    </w:p>
    <w:p w:rsidR="006A54A2" w:rsidRPr="006A54A2" w:rsidRDefault="006A54A2" w:rsidP="006A54A2">
      <w:pPr>
        <w:pStyle w:val="af"/>
        <w:ind w:left="0" w:firstLine="567"/>
        <w:jc w:val="both"/>
      </w:pPr>
      <w:r w:rsidRPr="006A54A2">
        <w:t>1.2.</w:t>
      </w:r>
      <w:r w:rsidRPr="006A54A2">
        <w:rPr>
          <w:b/>
        </w:rPr>
        <w:t xml:space="preserve"> ВЛ 35 кВ Чугуевка – Уборка (ЛЭП-35 "ЧУГУЕВКА-УБОРКА" L=35.7КМ), инв. № PR0010442</w:t>
      </w:r>
      <w:r w:rsidRPr="006A54A2">
        <w:t xml:space="preserve"> проходит по территории Чугуевского муниципального района ПК.</w:t>
      </w:r>
    </w:p>
    <w:p w:rsidR="006A54A2" w:rsidRPr="006A54A2" w:rsidRDefault="006A54A2" w:rsidP="006A54A2">
      <w:pPr>
        <w:pStyle w:val="af"/>
        <w:ind w:left="0" w:firstLine="567"/>
        <w:jc w:val="both"/>
      </w:pPr>
      <w:r w:rsidRPr="006A54A2">
        <w:t>1.3.</w:t>
      </w:r>
      <w:r w:rsidRPr="006A54A2">
        <w:rPr>
          <w:b/>
        </w:rPr>
        <w:t xml:space="preserve"> ВЛ 35 кВ Чугуевка – Октябрьская – Соколовка (ЛЭП-35 ЧУГУЕВКА-СОКОЛОВКА L=11.4КМ), инв. № PR0010446</w:t>
      </w:r>
      <w:r w:rsidRPr="006A54A2">
        <w:t xml:space="preserve"> проходит по территории Чугуевского муниципального района ПК.</w:t>
      </w:r>
    </w:p>
    <w:p w:rsidR="006A54A2" w:rsidRPr="006A54A2" w:rsidRDefault="006A54A2" w:rsidP="006A54A2">
      <w:pPr>
        <w:pStyle w:val="af"/>
        <w:ind w:left="0" w:firstLine="567"/>
        <w:jc w:val="both"/>
      </w:pPr>
      <w:r w:rsidRPr="006A54A2">
        <w:t>1.4.</w:t>
      </w:r>
      <w:r w:rsidRPr="006A54A2">
        <w:rPr>
          <w:b/>
        </w:rPr>
        <w:t xml:space="preserve"> ВЛ 10 кВ Ф-1 Лесогорье (ВЛ-10КВ ПС 35/10КВ "САМАРКА" Ф N 9 L=7.33КМ), инв. № PR0010335</w:t>
      </w:r>
      <w:r w:rsidRPr="006A54A2">
        <w:t xml:space="preserve"> проходит по территории Чугуевского муниципального района Приморского края.</w:t>
      </w:r>
    </w:p>
    <w:p w:rsidR="006A54A2" w:rsidRPr="006A54A2" w:rsidRDefault="006A54A2" w:rsidP="006A54A2">
      <w:pPr>
        <w:pStyle w:val="af"/>
        <w:ind w:left="0" w:firstLine="567"/>
        <w:jc w:val="both"/>
      </w:pPr>
      <w:r w:rsidRPr="006A54A2">
        <w:t>1.5.</w:t>
      </w:r>
      <w:r w:rsidRPr="006A54A2">
        <w:rPr>
          <w:b/>
        </w:rPr>
        <w:t xml:space="preserve"> ВЛ 10 кВ Ф-16 Каменка (ВЛ-10КВ ПС "ЧУГУЕВКА" Ф N16 "КАМЕНКА"), инв. № PR0010332</w:t>
      </w:r>
      <w:r w:rsidRPr="006A54A2">
        <w:t xml:space="preserve"> проходит по территории Чугуевского муниципального района ПК.</w:t>
      </w:r>
    </w:p>
    <w:p w:rsidR="006A54A2" w:rsidRPr="006A54A2" w:rsidRDefault="006A54A2" w:rsidP="006A54A2">
      <w:pPr>
        <w:pStyle w:val="af"/>
        <w:ind w:left="0" w:firstLine="567"/>
        <w:jc w:val="both"/>
      </w:pPr>
      <w:r w:rsidRPr="006A54A2">
        <w:t>1.6.</w:t>
      </w:r>
      <w:r w:rsidRPr="006A54A2">
        <w:rPr>
          <w:b/>
        </w:rPr>
        <w:t xml:space="preserve"> ВЛ 10 кВ Ф-4 Павловка (ВЛ-10КВ ПС 35/10"УБОРКА" Ф-N 4"ПАВЛОВКА"), инв. № PR0010334</w:t>
      </w:r>
      <w:r w:rsidRPr="006A54A2">
        <w:t xml:space="preserve"> проходит по территории Чугуевского муниципального района Приморского края.</w:t>
      </w:r>
    </w:p>
    <w:p w:rsidR="006A54A2" w:rsidRPr="006A54A2" w:rsidRDefault="006A54A2" w:rsidP="006A54A2">
      <w:pPr>
        <w:pStyle w:val="af"/>
        <w:ind w:left="0" w:firstLine="567"/>
        <w:jc w:val="both"/>
      </w:pPr>
      <w:r w:rsidRPr="006A54A2">
        <w:t>1.7.</w:t>
      </w:r>
      <w:r w:rsidRPr="006A54A2">
        <w:rPr>
          <w:b/>
        </w:rPr>
        <w:t xml:space="preserve"> ВЛ 10 кВ Ф-10 ПМК-2 (ВЛ-10КВ ПС "ЧУГУЕВКА" Ф N10"ПМК-2"), инв. № PR0010331</w:t>
      </w:r>
      <w:r w:rsidRPr="006A54A2">
        <w:t xml:space="preserve"> проходит по территории Чугуевского муниципального района ПК.</w:t>
      </w:r>
    </w:p>
    <w:p w:rsidR="006A54A2" w:rsidRPr="006A54A2" w:rsidRDefault="006A54A2" w:rsidP="006A54A2">
      <w:pPr>
        <w:pStyle w:val="af"/>
        <w:ind w:left="0" w:firstLine="567"/>
        <w:jc w:val="both"/>
      </w:pPr>
      <w:r w:rsidRPr="006A54A2">
        <w:t>1.8.</w:t>
      </w:r>
      <w:r w:rsidRPr="006A54A2">
        <w:rPr>
          <w:b/>
        </w:rPr>
        <w:t xml:space="preserve"> ВЛ 10 кВ Ф-14 Кокшаровка (ВЛ-10КВ ПС"УБОРКА" Ф N14 "КОКШАРОВКА"), инв. № PR0010339</w:t>
      </w:r>
      <w:r w:rsidRPr="006A54A2">
        <w:t xml:space="preserve"> проходит по территории Чугуевского муниципального района Приморского края.</w:t>
      </w:r>
    </w:p>
    <w:p w:rsidR="006A54A2" w:rsidRPr="006A54A2" w:rsidRDefault="006A54A2" w:rsidP="006A54A2">
      <w:pPr>
        <w:pStyle w:val="af"/>
        <w:ind w:left="0" w:firstLine="567"/>
        <w:jc w:val="both"/>
      </w:pPr>
      <w:r w:rsidRPr="006A54A2">
        <w:t>1.9.</w:t>
      </w:r>
      <w:r w:rsidRPr="006A54A2">
        <w:rPr>
          <w:b/>
        </w:rPr>
        <w:t xml:space="preserve"> ВЛ 10 кВ Ф-17 Варваровка (ВЛ-10КВ ЛЗП ВЕСЕЛЫЙ L=20КМ), инв. № PR0010313</w:t>
      </w:r>
      <w:r w:rsidRPr="006A54A2">
        <w:t xml:space="preserve"> проходит по территории Анучинского муниципального района ПК.</w:t>
      </w:r>
    </w:p>
    <w:p w:rsidR="006A54A2" w:rsidRPr="006A54A2" w:rsidRDefault="006A54A2" w:rsidP="006A54A2">
      <w:pPr>
        <w:pStyle w:val="af"/>
        <w:ind w:left="0" w:firstLine="567"/>
        <w:jc w:val="both"/>
      </w:pPr>
      <w:r w:rsidRPr="006A54A2">
        <w:t>1.10.</w:t>
      </w:r>
      <w:r w:rsidRPr="006A54A2">
        <w:rPr>
          <w:b/>
        </w:rPr>
        <w:t xml:space="preserve"> ВЛ 10 кВ Ф-4 Лесобиржа (ВЛ-10 Ф 4 ЧЕРНЫШЕВКА-ЛЕСОБИРЖА L=24.2КМ 1005011), инв. № PR0010294</w:t>
      </w:r>
      <w:r w:rsidRPr="006A54A2">
        <w:t xml:space="preserve"> 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1.11.</w:t>
      </w:r>
      <w:r w:rsidRPr="006A54A2">
        <w:rPr>
          <w:b/>
        </w:rPr>
        <w:t xml:space="preserve"> ВЛ 10 кВ Ф-4 Покровка (ВЛ-10КВ Ф-4 ПОКРОВКА L=17.85КМ ОТ П/СТ "ЯКОВЛЕВКА), инв. № PR0010355</w:t>
      </w:r>
      <w:r w:rsidRPr="006A54A2">
        <w:t xml:space="preserve"> проходит по территории Яковлевского муниципального района Приморского края.</w:t>
      </w:r>
    </w:p>
    <w:p w:rsidR="006A54A2" w:rsidRPr="006A54A2" w:rsidRDefault="006A54A2" w:rsidP="006A54A2">
      <w:pPr>
        <w:pStyle w:val="af"/>
        <w:ind w:left="0" w:firstLine="567"/>
        <w:jc w:val="both"/>
      </w:pPr>
      <w:r w:rsidRPr="006A54A2">
        <w:t>1.12.</w:t>
      </w:r>
      <w:r w:rsidRPr="006A54A2">
        <w:rPr>
          <w:b/>
        </w:rPr>
        <w:t xml:space="preserve"> ВЛ 10 кВ Ф-1 Яковлевка (ВЛ-10КВ Ф-1 ЯКОВЛЕВКА 3.5КМ ОТ ПС "ЯКОВЛЕВКА"), инв. № PR0010344</w:t>
      </w:r>
      <w:r w:rsidRPr="006A54A2">
        <w:t xml:space="preserve"> проходит по территории Яковлевского муниципального района Приморского края.</w:t>
      </w:r>
    </w:p>
    <w:p w:rsidR="006A54A2" w:rsidRPr="006A54A2" w:rsidRDefault="006A54A2" w:rsidP="006A54A2">
      <w:pPr>
        <w:pStyle w:val="af"/>
        <w:ind w:left="0" w:firstLine="567"/>
        <w:jc w:val="both"/>
      </w:pPr>
      <w:r w:rsidRPr="006A54A2">
        <w:t>1.13.</w:t>
      </w:r>
      <w:r w:rsidRPr="006A54A2">
        <w:rPr>
          <w:b/>
        </w:rPr>
        <w:t xml:space="preserve"> ВЛ 10 кВ Ф-14 Николо-Михайловка (ВЛ-10КВ Ф-14 Н-МИХАЙЛОВКА 31.8 КМ ОТ ПС "ЯБЛОНОВКА), инв. № PR0010348</w:t>
      </w:r>
      <w:r w:rsidRPr="006A54A2">
        <w:t xml:space="preserve"> проходит по территории Яковлевского муниципального района Приморского края.</w:t>
      </w:r>
    </w:p>
    <w:p w:rsidR="006A54A2" w:rsidRPr="006A54A2" w:rsidRDefault="006A54A2" w:rsidP="006A54A2">
      <w:pPr>
        <w:pStyle w:val="af"/>
        <w:ind w:left="0" w:firstLine="567"/>
        <w:jc w:val="both"/>
      </w:pPr>
      <w:r w:rsidRPr="006A54A2">
        <w:t>1.14.</w:t>
      </w:r>
      <w:r w:rsidRPr="006A54A2">
        <w:rPr>
          <w:b/>
        </w:rPr>
        <w:t xml:space="preserve"> ВЛ 10 кВ Ф-14 Покровка (ВЛ-10КВ Ф-14 ОТ П/СТ "ВАРФОЛОМЕЕВКА" 21.1КМ), инв. № PR0010349 </w:t>
      </w:r>
      <w:r w:rsidRPr="006A54A2">
        <w:t>проходит по территории Яковлевского муниципального района Приморского края.</w:t>
      </w:r>
    </w:p>
    <w:p w:rsidR="006A54A2" w:rsidRPr="006A54A2" w:rsidRDefault="006A54A2" w:rsidP="006A54A2">
      <w:pPr>
        <w:pStyle w:val="af"/>
        <w:ind w:left="0" w:firstLine="567"/>
        <w:jc w:val="both"/>
      </w:pPr>
      <w:r w:rsidRPr="006A54A2">
        <w:t>1.15.</w:t>
      </w:r>
      <w:r w:rsidRPr="006A54A2">
        <w:rPr>
          <w:b/>
        </w:rPr>
        <w:t xml:space="preserve"> ВЛ 0,4 кВ с. Пшеницино (ВЛ-0.4КВ С.ПШЕНИЦЫНО L=19КМ), инв. № PR0010246 </w:t>
      </w:r>
      <w:r w:rsidRPr="006A54A2">
        <w:t>проходит по территории Чугуевского муниципального района ПК.</w:t>
      </w:r>
    </w:p>
    <w:p w:rsidR="006A54A2" w:rsidRPr="006A54A2" w:rsidRDefault="006A54A2" w:rsidP="006A54A2">
      <w:pPr>
        <w:pStyle w:val="af"/>
        <w:ind w:left="0" w:firstLine="567"/>
        <w:jc w:val="both"/>
      </w:pPr>
      <w:r w:rsidRPr="006A54A2">
        <w:t>1.16.</w:t>
      </w:r>
      <w:r w:rsidRPr="006A54A2">
        <w:rPr>
          <w:b/>
        </w:rPr>
        <w:t xml:space="preserve"> ВЛ 0,4 кВ с.Чугуевка (ВЛ-0.4КВ С. ЧУГУЕВКА L=158.85КМ), инв. № PR0010259 </w:t>
      </w:r>
      <w:r w:rsidRPr="006A54A2">
        <w:t>проходит по территории Чугуевского муниципального района ПК.</w:t>
      </w:r>
    </w:p>
    <w:p w:rsidR="006A54A2" w:rsidRPr="006A54A2" w:rsidRDefault="006A54A2" w:rsidP="006A54A2">
      <w:pPr>
        <w:pStyle w:val="af"/>
        <w:ind w:left="0" w:firstLine="567"/>
        <w:jc w:val="both"/>
      </w:pPr>
      <w:r w:rsidRPr="006A54A2">
        <w:t>1.17.</w:t>
      </w:r>
      <w:r w:rsidRPr="006A54A2">
        <w:rPr>
          <w:b/>
        </w:rPr>
        <w:t xml:space="preserve"> ВЛ 0,4 кВ с. Веселый (ВЛ-0,4 кВ от РУ-0,4 кВ ТП-5167 "ЛЗП-3" Ф-4 "Лесобиржа" L=410 м, п. ЛЗП-3), с. ЛЗП-4, инв. № PR0029321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 xml:space="preserve">1.18. </w:t>
      </w:r>
      <w:r w:rsidRPr="006A54A2">
        <w:rPr>
          <w:b/>
        </w:rPr>
        <w:t xml:space="preserve">ВЛ-0,4 кВ от РУ-0,4 кВ ТП-5167 "ЛЗП-3" Ф-4 "Лесобиржа" L=410 м, п. ЛЗП-3, инв. № PR0029321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1.19.</w:t>
      </w:r>
      <w:r w:rsidRPr="006A54A2">
        <w:rPr>
          <w:b/>
        </w:rPr>
        <w:t xml:space="preserve"> ВЛ 0,4 кВ с. Виноградовка (ВЛ-0.4 С.ВИНОГРАДОВКА L=9.47 КМ), инв. № PR0010177 </w:t>
      </w:r>
      <w:r w:rsidRPr="006A54A2">
        <w:t>проходит по территории Анучинского муниципального района ПК.</w:t>
      </w:r>
    </w:p>
    <w:p w:rsidR="006A54A2" w:rsidRPr="006A54A2" w:rsidRDefault="006A54A2" w:rsidP="006A54A2">
      <w:pPr>
        <w:pStyle w:val="af"/>
        <w:ind w:left="0" w:firstLine="567"/>
        <w:jc w:val="both"/>
      </w:pPr>
      <w:r w:rsidRPr="006A54A2">
        <w:t>1.20.</w:t>
      </w:r>
      <w:r w:rsidRPr="006A54A2">
        <w:rPr>
          <w:b/>
        </w:rPr>
        <w:t xml:space="preserve"> ВЛ 0,4 кВ с. Гродеково (ВЛ-0.4КВ ТП 15 БЫТ ГРОДЕКОВО L=4.6КМ 1005046), инв. № PR0010267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1.21.</w:t>
      </w:r>
      <w:r w:rsidRPr="006A54A2">
        <w:rPr>
          <w:b/>
        </w:rPr>
        <w:t xml:space="preserve"> ВЛ 0,4 кВ с. Ильмаковка (ВЛ-0,4КВ КТПА-160 БЫТ С.ИЛЬМАКОВКА L=3.2 1005054), инв. № PR0010159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1.22.</w:t>
      </w:r>
      <w:r w:rsidRPr="006A54A2">
        <w:rPr>
          <w:b/>
        </w:rPr>
        <w:t xml:space="preserve"> ВЛ 0,4 кВ с. Корниловка (ВЛ-0.4КВ ТП-160 МАС-КИЕ С.КОРНИЛОВКА L=6.561005032), инв. № PR0010281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1.23.</w:t>
      </w:r>
      <w:r w:rsidRPr="006A54A2">
        <w:rPr>
          <w:b/>
        </w:rPr>
        <w:t xml:space="preserve"> ВЛ 0,4 кВ с. Муравейка (ВЛ-0.4КВ С.МУРАВЕЙКА L=4.8КМ), инв. № PR0010237 </w:t>
      </w:r>
      <w:r w:rsidRPr="006A54A2">
        <w:t>проходит по территории Анучинского муниципального района ПК.</w:t>
      </w:r>
    </w:p>
    <w:p w:rsidR="006A54A2" w:rsidRPr="006A54A2" w:rsidRDefault="006A54A2" w:rsidP="006A54A2">
      <w:pPr>
        <w:pStyle w:val="af"/>
        <w:ind w:left="0" w:firstLine="567"/>
        <w:jc w:val="both"/>
      </w:pPr>
      <w:r w:rsidRPr="006A54A2">
        <w:t>1.24.</w:t>
      </w:r>
      <w:r w:rsidRPr="006A54A2">
        <w:rPr>
          <w:b/>
        </w:rPr>
        <w:t xml:space="preserve"> ВЛ 0,4 кВ с. Нововарваровка (ВЛ-0.4КВ КТПА-160 БЫТ С.Н.ВАРВАРОВКА L=4.01005027), инв. № PR0010201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1.25.</w:t>
      </w:r>
      <w:r w:rsidRPr="006A54A2">
        <w:rPr>
          <w:b/>
        </w:rPr>
        <w:t xml:space="preserve"> ВЛ 0,4 кВ с. Новопокровка (ВЛ-0.4КВ КТПН-250 С.Н.ПОКРОВКА L=2.4 1005019), инв. № PR0010209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1.26.</w:t>
      </w:r>
      <w:r w:rsidRPr="006A54A2">
        <w:rPr>
          <w:b/>
        </w:rPr>
        <w:t xml:space="preserve"> ВЛ 0,4 кВ с. Новотроицкое (ВЛ-0.4 КТПА-160 БЫТ Н-ТРОИЦКОЕ L=3.66 1005077), инв. № PR0010175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1.27.</w:t>
      </w:r>
      <w:r w:rsidRPr="006A54A2">
        <w:rPr>
          <w:b/>
        </w:rPr>
        <w:t xml:space="preserve"> ВЛ 0,4 кВ с. Пухово (ВЛ-0.4КВ L=1.2 С.ПУХОВО), инв. № PR0010180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1.28.</w:t>
      </w:r>
      <w:r w:rsidRPr="006A54A2">
        <w:rPr>
          <w:b/>
        </w:rPr>
        <w:t xml:space="preserve"> ВЛ 0,4 кВ с. Рисовое (ВЛ-0.4КВ КТПА-400 С.РИСОВОЕ L=0.5 1005088), инв. № PR0010207 </w:t>
      </w:r>
      <w:r w:rsidRPr="006A54A2">
        <w:t>проходит по территории Анучинского муниципального района ПК.</w:t>
      </w:r>
    </w:p>
    <w:p w:rsidR="006A54A2" w:rsidRPr="006A54A2" w:rsidRDefault="006A54A2" w:rsidP="006A54A2">
      <w:pPr>
        <w:pStyle w:val="af"/>
        <w:ind w:left="0" w:firstLine="567"/>
        <w:jc w:val="both"/>
      </w:pPr>
      <w:r w:rsidRPr="006A54A2">
        <w:t>1.29.</w:t>
      </w:r>
      <w:r w:rsidRPr="006A54A2">
        <w:rPr>
          <w:b/>
        </w:rPr>
        <w:t xml:space="preserve"> ВЛ 0,4 кВ с. Чернышевка (ВЛ-0.4КВ КТПА-160 БАЗА С.ЧЕРНЫШЕВКА L=1 1005095), инв. № PR0010200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1.30.</w:t>
      </w:r>
      <w:r w:rsidRPr="006A54A2">
        <w:rPr>
          <w:b/>
        </w:rPr>
        <w:t xml:space="preserve"> ВЛ 0,4 кВ с. Староварваровка (ВЛ-0.4КВ СТ.ВАРВАРОВКА L=14.2КМ), инв. № PR0010262 </w:t>
      </w:r>
      <w:r w:rsidRPr="006A54A2">
        <w:t>проходит по территории Анучинского муниципального района ПК.</w:t>
      </w:r>
    </w:p>
    <w:p w:rsidR="006A54A2" w:rsidRPr="006A54A2" w:rsidRDefault="006A54A2" w:rsidP="006A54A2">
      <w:pPr>
        <w:pStyle w:val="af"/>
        <w:ind w:left="0" w:firstLine="567"/>
        <w:jc w:val="both"/>
      </w:pPr>
      <w:r w:rsidRPr="006A54A2">
        <w:t>1.31.</w:t>
      </w:r>
      <w:r w:rsidRPr="006A54A2">
        <w:rPr>
          <w:b/>
        </w:rPr>
        <w:t xml:space="preserve"> ВЛ 0,4 кВ с. Тихоречье (ВЛ-0,4КВ КТПА-100 ТИХОРЕЧЬЕ L=3.1 1005082), инв. № PR0010158 </w:t>
      </w:r>
      <w:r w:rsidRPr="006A54A2">
        <w:t>проходит по территории Анучинского муниципального района ПК.</w:t>
      </w:r>
    </w:p>
    <w:p w:rsidR="006A54A2" w:rsidRPr="006A54A2" w:rsidRDefault="006A54A2" w:rsidP="006A54A2">
      <w:pPr>
        <w:pStyle w:val="af"/>
        <w:ind w:left="0" w:firstLine="567"/>
        <w:jc w:val="both"/>
      </w:pPr>
      <w:r w:rsidRPr="006A54A2">
        <w:t>1.32.</w:t>
      </w:r>
      <w:r w:rsidRPr="006A54A2">
        <w:rPr>
          <w:b/>
        </w:rPr>
        <w:t xml:space="preserve"> ВЛ 0,4 кВ с. Шекляево (ВЛ-0.4КВ КТПА-160 "МТФ" С.ШЕКЛЯЕВО L=3.4КМ1005028), инв. № PR0010199 </w:t>
      </w:r>
      <w:r w:rsidRPr="006A54A2">
        <w:t>проходит по территории Анучинского муниципального района Приморского края.</w:t>
      </w:r>
    </w:p>
    <w:p w:rsidR="006A54A2" w:rsidRPr="006A54A2" w:rsidRDefault="006A54A2" w:rsidP="006A54A2">
      <w:pPr>
        <w:pStyle w:val="af"/>
        <w:ind w:left="0" w:firstLine="567"/>
        <w:jc w:val="both"/>
      </w:pPr>
      <w:r w:rsidRPr="006A54A2">
        <w:t>1.33.</w:t>
      </w:r>
      <w:r w:rsidRPr="006A54A2">
        <w:rPr>
          <w:b/>
        </w:rPr>
        <w:t xml:space="preserve"> ВЛ 0,4 кВ с. Старосысоевка (ВЛ-0.4КВ СТ.СЫСОЕВКА L=14.41КМ), инв. № PR0010263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1.34.</w:t>
      </w:r>
      <w:r w:rsidRPr="006A54A2">
        <w:rPr>
          <w:b/>
        </w:rPr>
        <w:t xml:space="preserve"> ВЛ 0,4 кВ с. Андреевка (ВЛ-0.4КВ С.АНДРЕЕВКА L=6.89КМ), инв. № PR0010217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1.35.</w:t>
      </w:r>
      <w:r w:rsidRPr="006A54A2">
        <w:rPr>
          <w:b/>
        </w:rPr>
        <w:t xml:space="preserve"> ВЛ 0,4 кВ с. Бельцово (ВЛ-0.4КВ С.БЕЛЬЦОВО L=7.88КМ), инв. № PR0010221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1.36.</w:t>
      </w:r>
      <w:r w:rsidRPr="006A54A2">
        <w:rPr>
          <w:b/>
        </w:rPr>
        <w:t xml:space="preserve"> ВЛ 0,4 кВ с. Достоевка (ВЛ-0.4КВ С.ДОСТОЕВКА L=16.8КМ), инв. № PR0010227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1.37.</w:t>
      </w:r>
      <w:r w:rsidRPr="006A54A2">
        <w:rPr>
          <w:b/>
        </w:rPr>
        <w:t xml:space="preserve"> ВЛ 0,4 кВ с.Варфоломеевка (ВЛ-0.4КВ ВАРФОЛОМЕЕВКА L=47.54КМ), инв. № PR0010194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1.38.</w:t>
      </w:r>
      <w:r w:rsidRPr="006A54A2">
        <w:rPr>
          <w:b/>
        </w:rPr>
        <w:t xml:space="preserve"> ВЛ 0,4 кВ с.Загорное (ВЛ-0.4КВ С.ЗАГОРНОЕ L=4.96 КМ), инв. № PR0010228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1.39.</w:t>
      </w:r>
      <w:r w:rsidRPr="006A54A2">
        <w:rPr>
          <w:b/>
        </w:rPr>
        <w:t xml:space="preserve"> ВЛ 0,4 кВ с. Краснояровка (ВЛ-0.38КВ КРАСНОЯРОВКА L=3КМ), инв. № PR0010167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1.40.</w:t>
      </w:r>
      <w:r w:rsidRPr="006A54A2">
        <w:rPr>
          <w:b/>
        </w:rPr>
        <w:t xml:space="preserve"> ВЛ 0,4 кВ с. Лазаревка (ВЛ-0.4КВ С.ЛАЗАРЕВКА L=6.4КМ), инв. № PR0010233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1.41.</w:t>
      </w:r>
      <w:r w:rsidRPr="006A54A2">
        <w:rPr>
          <w:b/>
        </w:rPr>
        <w:t xml:space="preserve"> ВЛ 0,4 кВ с. Николо-Михайловка (ВЛ-0,4кВ с. Ново-Михайловка - 2 L=4,4 км), инв. № PR0011968 </w:t>
      </w:r>
      <w:r w:rsidRPr="006A54A2">
        <w:t>проходит по территории Яковлевского муниципального района Приморского края.</w:t>
      </w:r>
    </w:p>
    <w:p w:rsidR="006A54A2" w:rsidRPr="006A54A2" w:rsidRDefault="006A54A2" w:rsidP="006A54A2">
      <w:pPr>
        <w:pStyle w:val="af"/>
        <w:ind w:left="0" w:firstLine="567"/>
        <w:jc w:val="both"/>
      </w:pPr>
      <w:r w:rsidRPr="006A54A2">
        <w:t>1.42.</w:t>
      </w:r>
      <w:r w:rsidRPr="006A54A2">
        <w:rPr>
          <w:b/>
        </w:rPr>
        <w:t xml:space="preserve"> ВЛ 0,4 кВ с. Новосысоевка (ВЛ-0,4 кВ от оп.3 ВЛ-0,4 кВ Ф-1 "Быт" ТП-6089 "ЛПХ", с. Новосысоевка (пер. Вокзальный)), инв. № PR0028383 </w:t>
      </w:r>
      <w:r w:rsidRPr="006A54A2">
        <w:t>проходит по территории Яковлевского муниципального района Приморского края.</w:t>
      </w:r>
    </w:p>
    <w:p w:rsidR="006A54A2" w:rsidRPr="006A54A2" w:rsidRDefault="006A54A2" w:rsidP="006A54A2">
      <w:pPr>
        <w:pStyle w:val="af"/>
        <w:ind w:left="0" w:firstLine="567"/>
        <w:jc w:val="both"/>
      </w:pPr>
      <w:r w:rsidRPr="006A54A2">
        <w:t>1.43.</w:t>
      </w:r>
      <w:r w:rsidRPr="006A54A2">
        <w:rPr>
          <w:b/>
        </w:rPr>
        <w:t xml:space="preserve"> ВЛ 0,4 кВ с. Озерное (ВЛ-0.4КВ С. ОЗЕРНОЕ L=9.24КМ), инв. № PR0010241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1.44.</w:t>
      </w:r>
      <w:r w:rsidRPr="006A54A2">
        <w:rPr>
          <w:b/>
        </w:rPr>
        <w:t xml:space="preserve"> ВЛ 0,4 кВ с. Яблоновка (ВЛ-0.4КВ С. ЯБЛОНОВКА L=11.75КМ), инв. № PR0010260 </w:t>
      </w:r>
      <w:r w:rsidRPr="006A54A2">
        <w:t>проходит по территории Яковлевского муниципального района ПК.</w:t>
      </w:r>
    </w:p>
    <w:p w:rsidR="006A54A2" w:rsidRPr="006A54A2" w:rsidRDefault="006A54A2" w:rsidP="006A54A2">
      <w:pPr>
        <w:pStyle w:val="af"/>
        <w:ind w:left="0" w:firstLine="567"/>
        <w:jc w:val="both"/>
      </w:pPr>
      <w:r w:rsidRPr="006A54A2">
        <w:t>1.45.</w:t>
      </w:r>
      <w:r w:rsidRPr="006A54A2">
        <w:rPr>
          <w:b/>
        </w:rPr>
        <w:t xml:space="preserve"> ВЛ 0,4 кВ с. Покровка (ВЛ-0.4КВ С. ПОКРОВКА L=14.14КМ), инв. № PR0010244 </w:t>
      </w:r>
      <w:r w:rsidRPr="006A54A2">
        <w:t>проходит по территории Яковлевского муниципального района ПК.</w:t>
      </w:r>
    </w:p>
    <w:p w:rsidR="00DE4BC5" w:rsidRPr="007C0C89" w:rsidRDefault="00DE4BC5" w:rsidP="00DE4BC5">
      <w:pPr>
        <w:pStyle w:val="af"/>
        <w:shd w:val="clear" w:color="auto" w:fill="FFFFFF"/>
        <w:tabs>
          <w:tab w:val="left" w:pos="1134"/>
        </w:tabs>
        <w:ind w:left="574"/>
        <w:rPr>
          <w:b/>
          <w:bCs/>
        </w:rPr>
      </w:pPr>
    </w:p>
    <w:p w:rsidR="004B090F" w:rsidRPr="00330185" w:rsidRDefault="004B090F" w:rsidP="00330185">
      <w:pPr>
        <w:pStyle w:val="af"/>
        <w:numPr>
          <w:ilvl w:val="1"/>
          <w:numId w:val="3"/>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5"/>
    </w:p>
    <w:p w:rsidR="008C44B5" w:rsidRDefault="008C44B5" w:rsidP="008C44B5">
      <w:pPr>
        <w:pStyle w:val="af"/>
        <w:shd w:val="clear" w:color="auto" w:fill="FFFFFF"/>
        <w:tabs>
          <w:tab w:val="left" w:pos="1134"/>
        </w:tabs>
        <w:spacing w:before="120"/>
        <w:ind w:left="574"/>
        <w:rPr>
          <w:bCs/>
        </w:rPr>
      </w:pPr>
      <w:r w:rsidRPr="008C44B5">
        <w:rPr>
          <w:bCs/>
        </w:rPr>
        <w:t xml:space="preserve">Начало работ: с момента заключения договора, окончание работ – </w:t>
      </w:r>
      <w:r w:rsidR="008D51C1" w:rsidRPr="008D51C1">
        <w:rPr>
          <w:bCs/>
        </w:rPr>
        <w:t xml:space="preserve">31 </w:t>
      </w:r>
      <w:r w:rsidR="00DE4BC5">
        <w:rPr>
          <w:bCs/>
        </w:rPr>
        <w:t>декабря</w:t>
      </w:r>
      <w:r w:rsidR="008D51C1" w:rsidRPr="008D51C1">
        <w:rPr>
          <w:bCs/>
        </w:rPr>
        <w:t xml:space="preserve">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006A54A2">
        <w:rPr>
          <w:bCs/>
        </w:rPr>
        <w:t xml:space="preserve"> </w:t>
      </w:r>
      <w:r w:rsidRPr="00800F41">
        <w:rPr>
          <w:bCs/>
        </w:rPr>
        <w:t>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6"/>
    <w:bookmarkEnd w:id="7"/>
    <w:bookmarkEnd w:id="8"/>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9"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9"/>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0"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0"/>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1"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2"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2"/>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3" w:name="_Ref361858588"/>
      <w:bookmarkStart w:id="14" w:name="_Ref361834675"/>
      <w:r w:rsidRPr="00800F41">
        <w:rPr>
          <w:bCs/>
        </w:rPr>
        <w:t>Оплата по Договору осуществляется Заказчиком в следующем порядке:</w:t>
      </w:r>
      <w:bookmarkEnd w:id="13"/>
      <w:bookmarkEnd w:id="14"/>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5" w:name="_Ref361834178"/>
      <w:bookmarkStart w:id="16"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5"/>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7" w:name="_Ref361336647"/>
    </w:p>
    <w:bookmarkEnd w:id="17"/>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8" w:name="_Ref361834251"/>
      <w:bookmarkEnd w:id="16"/>
      <w:r w:rsidRPr="00800F41">
        <w:rPr>
          <w:bCs/>
        </w:rPr>
        <w:t xml:space="preserve">Индексация Цены Договора не допускается. </w:t>
      </w:r>
    </w:p>
    <w:bookmarkEnd w:id="18"/>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19"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19"/>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0"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0"/>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1"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1"/>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2"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2"/>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3"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3"/>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4" w:name="OLE_LINK5"/>
      <w:bookmarkStart w:id="25"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4"/>
      <w:bookmarkEnd w:id="25"/>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6"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6"/>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7"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7"/>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8"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8"/>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29"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29"/>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3"/>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4"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4"/>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5"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5"/>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6"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6"/>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7"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8" w:name="RANGE!A1:AG42"/>
      <w:bookmarkStart w:id="39" w:name="RANGE!A1:AG40"/>
      <w:bookmarkEnd w:id="38"/>
      <w:bookmarkEnd w:id="39"/>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w:t>
      </w:r>
      <w:r w:rsidR="00417819" w:rsidRPr="00417819">
        <w:rPr>
          <w:bCs/>
          <w:sz w:val="22"/>
          <w:szCs w:val="22"/>
        </w:rPr>
        <w:t>_</w:t>
      </w:r>
      <w:r w:rsidRPr="00800F41">
        <w:rPr>
          <w:bCs/>
          <w:sz w:val="22"/>
          <w:szCs w:val="22"/>
        </w:rPr>
        <w:t xml:space="preserve">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w:t>
      </w:r>
      <w:r w:rsidR="00417819" w:rsidRPr="00417819">
        <w:rPr>
          <w:sz w:val="22"/>
          <w:szCs w:val="22"/>
        </w:rPr>
        <w:t>__</w:t>
      </w:r>
      <w:r w:rsidRPr="00800F41">
        <w:rPr>
          <w:sz w:val="22"/>
          <w:szCs w:val="22"/>
        </w:rPr>
        <w:t xml:space="preserve">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w:t>
      </w:r>
      <w:bookmarkStart w:id="40" w:name="_GoBack"/>
      <w:bookmarkEnd w:id="40"/>
      <w:r w:rsidRPr="00800F41">
        <w:rPr>
          <w:sz w:val="22"/>
          <w:szCs w:val="22"/>
        </w:rPr>
        <w:t xml:space="preserve">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BEF" w:rsidRDefault="00BF6BEF">
      <w:r>
        <w:separator/>
      </w:r>
    </w:p>
  </w:endnote>
  <w:endnote w:type="continuationSeparator" w:id="0">
    <w:p w:rsidR="00BF6BEF" w:rsidRDefault="00BF6BEF">
      <w:r>
        <w:continuationSeparator/>
      </w:r>
    </w:p>
  </w:endnote>
  <w:endnote w:type="continuationNotice" w:id="1">
    <w:p w:rsidR="00BF6BEF" w:rsidRDefault="00BF6B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BEF" w:rsidRDefault="00BF6BEF">
      <w:r>
        <w:separator/>
      </w:r>
    </w:p>
  </w:footnote>
  <w:footnote w:type="continuationSeparator" w:id="0">
    <w:p w:rsidR="00BF6BEF" w:rsidRDefault="00BF6BEF">
      <w:r>
        <w:continuationSeparator/>
      </w:r>
    </w:p>
  </w:footnote>
  <w:footnote w:type="continuationNotice" w:id="1">
    <w:p w:rsidR="00BF6BEF" w:rsidRDefault="00BF6BEF">
      <w:pPr>
        <w:spacing w:line="240" w:lineRule="auto"/>
      </w:pPr>
    </w:p>
  </w:footnote>
  <w:footnote w:id="2">
    <w:p w:rsidR="00194A09" w:rsidRDefault="00194A09"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194A09" w:rsidRDefault="00194A09"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A8E7C04"/>
    <w:multiLevelType w:val="multilevel"/>
    <w:tmpl w:val="AD541F7C"/>
    <w:lvl w:ilvl="0">
      <w:start w:val="1"/>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20"/>
  </w:num>
  <w:num w:numId="2">
    <w:abstractNumId w:val="24"/>
  </w:num>
  <w:num w:numId="3">
    <w:abstractNumId w:val="19"/>
  </w:num>
  <w:num w:numId="4">
    <w:abstractNumId w:val="11"/>
  </w:num>
  <w:num w:numId="5">
    <w:abstractNumId w:val="3"/>
  </w:num>
  <w:num w:numId="6">
    <w:abstractNumId w:val="2"/>
  </w:num>
  <w:num w:numId="7">
    <w:abstractNumId w:val="1"/>
  </w:num>
  <w:num w:numId="8">
    <w:abstractNumId w:val="8"/>
  </w:num>
  <w:num w:numId="9">
    <w:abstractNumId w:val="10"/>
  </w:num>
  <w:num w:numId="10">
    <w:abstractNumId w:val="18"/>
  </w:num>
  <w:num w:numId="11">
    <w:abstractNumId w:val="12"/>
  </w:num>
  <w:num w:numId="12">
    <w:abstractNumId w:val="23"/>
  </w:num>
  <w:num w:numId="13">
    <w:abstractNumId w:val="16"/>
  </w:num>
  <w:num w:numId="14">
    <w:abstractNumId w:val="13"/>
  </w:num>
  <w:num w:numId="15">
    <w:abstractNumId w:val="6"/>
  </w:num>
  <w:num w:numId="16">
    <w:abstractNumId w:val="7"/>
  </w:num>
  <w:num w:numId="17">
    <w:abstractNumId w:val="17"/>
  </w:num>
  <w:num w:numId="18">
    <w:abstractNumId w:val="22"/>
  </w:num>
  <w:num w:numId="19">
    <w:abstractNumId w:val="4"/>
  </w:num>
  <w:num w:numId="20">
    <w:abstractNumId w:val="5"/>
  </w:num>
  <w:num w:numId="21">
    <w:abstractNumId w:val="21"/>
  </w:num>
  <w:num w:numId="22">
    <w:abstractNumId w:val="0"/>
  </w:num>
  <w:num w:numId="23">
    <w:abstractNumId w:val="15"/>
  </w:num>
  <w:num w:numId="24">
    <w:abstractNumId w:val="25"/>
  </w:num>
  <w:num w:numId="25">
    <w:abstractNumId w:val="9"/>
  </w:num>
  <w:num w:numId="2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08F0"/>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1AF8"/>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04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4B"/>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17819"/>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1BE0"/>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13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3CE"/>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88A"/>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25A"/>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54A2"/>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6DB"/>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27AEE"/>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C8E"/>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56FC"/>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6E0"/>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A60"/>
    <w:rsid w:val="00DE2D6E"/>
    <w:rsid w:val="00DE3F60"/>
    <w:rsid w:val="00DE40ED"/>
    <w:rsid w:val="00DE4BC5"/>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64"/>
    <w:rsid w:val="00EF01A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F07"/>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66916F4"/>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B7538-3BE3-4212-BACA-05F96B23B0F1}">
  <ds:schemaRefs>
    <ds:schemaRef ds:uri="http://schemas.openxmlformats.org/officeDocument/2006/bibliography"/>
  </ds:schemaRefs>
</ds:datastoreItem>
</file>

<file path=customXml/itemProps2.xml><?xml version="1.0" encoding="utf-8"?>
<ds:datastoreItem xmlns:ds="http://schemas.openxmlformats.org/officeDocument/2006/customXml" ds:itemID="{CB148187-6C15-4042-9A7D-0DE0BF401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33</Pages>
  <Words>15171</Words>
  <Characters>86479</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101448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Александрова Наталия Борисовна</cp:lastModifiedBy>
  <cp:revision>116</cp:revision>
  <cp:lastPrinted>2020-07-12T22:33:00Z</cp:lastPrinted>
  <dcterms:created xsi:type="dcterms:W3CDTF">2020-04-07T04:14:00Z</dcterms:created>
  <dcterms:modified xsi:type="dcterms:W3CDTF">2021-02-16T22:26:00Z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