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77777777" w:rsidR="004970F4" w:rsidRDefault="004970F4" w:rsidP="004970F4">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77777777" w:rsidR="004970F4" w:rsidRPr="00C677BC" w:rsidRDefault="004970F4" w:rsidP="004970F4">
      <w:pPr>
        <w:spacing w:before="0"/>
        <w:ind w:left="5811" w:hanging="11"/>
        <w:rPr>
          <w:sz w:val="24"/>
          <w:szCs w:val="24"/>
        </w:rPr>
      </w:pPr>
      <w:r w:rsidRPr="00C677BC">
        <w:rPr>
          <w:sz w:val="24"/>
          <w:szCs w:val="24"/>
        </w:rPr>
        <w:t xml:space="preserve">__________________ </w:t>
      </w:r>
      <w:r>
        <w:rPr>
          <w:sz w:val="24"/>
          <w:szCs w:val="24"/>
        </w:rPr>
        <w:t>В.А. Юхимук</w:t>
      </w:r>
    </w:p>
    <w:p w14:paraId="0FACC4EC" w14:textId="0555BB21"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Pr>
          <w:szCs w:val="28"/>
        </w:rPr>
        <w:t>января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5827779D" w:rsidR="004970F4" w:rsidRPr="004970F4" w:rsidRDefault="004970F4" w:rsidP="004970F4">
      <w:pPr>
        <w:spacing w:before="0"/>
        <w:jc w:val="center"/>
        <w:outlineLvl w:val="4"/>
        <w:rPr>
          <w:sz w:val="24"/>
          <w:szCs w:val="24"/>
        </w:rPr>
      </w:pPr>
      <w:r w:rsidRPr="004970F4">
        <w:rPr>
          <w:sz w:val="24"/>
          <w:szCs w:val="24"/>
        </w:rPr>
        <w:t>(</w:t>
      </w:r>
      <w:r w:rsidR="00674C42">
        <w:rPr>
          <w:sz w:val="24"/>
          <w:szCs w:val="24"/>
        </w:rPr>
        <w:t xml:space="preserve">лот </w:t>
      </w:r>
      <w:r w:rsidR="00674C42" w:rsidRPr="00674C42">
        <w:rPr>
          <w:sz w:val="24"/>
          <w:szCs w:val="24"/>
        </w:rPr>
        <w:t>93301-ТПИР ОТМ-2021-ДРСК</w:t>
      </w:r>
      <w:r w:rsidR="00674C42">
        <w:rPr>
          <w:sz w:val="24"/>
          <w:szCs w:val="24"/>
        </w:rPr>
        <w:t xml:space="preserve"> </w:t>
      </w:r>
      <w:r w:rsidRPr="004970F4">
        <w:rPr>
          <w:sz w:val="24"/>
          <w:szCs w:val="24"/>
        </w:rPr>
        <w:t>)</w:t>
      </w:r>
    </w:p>
    <w:p w14:paraId="73DFADED" w14:textId="0C950574" w:rsidR="004970F4" w:rsidRDefault="004970F4" w:rsidP="004970F4">
      <w:pPr>
        <w:spacing w:before="0"/>
        <w:jc w:val="center"/>
        <w:outlineLvl w:val="4"/>
        <w:rPr>
          <w:b/>
          <w:sz w:val="24"/>
          <w:szCs w:val="24"/>
        </w:rPr>
      </w:pPr>
      <w:r w:rsidRPr="0037752F">
        <w:rPr>
          <w:b/>
          <w:sz w:val="24"/>
          <w:szCs w:val="24"/>
        </w:rPr>
        <w:t>№</w:t>
      </w:r>
      <w:r w:rsidR="00F76923">
        <w:rPr>
          <w:b/>
          <w:sz w:val="24"/>
          <w:szCs w:val="24"/>
        </w:rPr>
        <w:t>307</w:t>
      </w:r>
      <w:bookmarkStart w:id="0" w:name="_GoBack"/>
      <w:bookmarkEnd w:id="0"/>
      <w:r w:rsidRPr="00E65C41">
        <w:rPr>
          <w:b/>
          <w:sz w:val="24"/>
          <w:szCs w:val="24"/>
        </w:rPr>
        <w:t>/</w:t>
      </w:r>
      <w:r>
        <w:rPr>
          <w:b/>
          <w:sz w:val="24"/>
          <w:szCs w:val="24"/>
        </w:rPr>
        <w:t>М</w:t>
      </w:r>
      <w:r w:rsidR="00674C42">
        <w:rPr>
          <w:b/>
          <w:sz w:val="24"/>
          <w:szCs w:val="24"/>
        </w:rPr>
        <w:t>ТПиР</w:t>
      </w:r>
      <w:r w:rsidRPr="00E65C41">
        <w:rPr>
          <w:b/>
          <w:sz w:val="24"/>
          <w:szCs w:val="24"/>
        </w:rPr>
        <w:t xml:space="preserve">                                                                                            </w:t>
      </w:r>
      <w:r>
        <w:rPr>
          <w:b/>
          <w:sz w:val="24"/>
          <w:szCs w:val="24"/>
        </w:rPr>
        <w:t xml:space="preserve">           «</w:t>
      </w:r>
      <w:r w:rsidR="00674C42">
        <w:rPr>
          <w:b/>
          <w:sz w:val="24"/>
          <w:szCs w:val="24"/>
        </w:rPr>
        <w:t>29</w:t>
      </w:r>
      <w:r>
        <w:rPr>
          <w:b/>
          <w:sz w:val="24"/>
          <w:szCs w:val="24"/>
        </w:rPr>
        <w:t>» января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71923994" w14:textId="50128736" w:rsidR="00ED7A70" w:rsidRDefault="00ED7A70" w:rsidP="00ED7A70">
            <w:pPr>
              <w:pStyle w:val="Tableheader"/>
              <w:widowControl w:val="0"/>
              <w:spacing w:before="0"/>
              <w:rPr>
                <w:b w:val="0"/>
                <w:sz w:val="24"/>
              </w:rPr>
            </w:pPr>
            <w:r w:rsidRPr="00ED7A70">
              <w:rPr>
                <w:b w:val="0"/>
                <w:sz w:val="24"/>
              </w:rPr>
              <w:t>лот №</w:t>
            </w:r>
            <w:r w:rsidR="00674C42" w:rsidRPr="00674C42">
              <w:rPr>
                <w:b w:val="0"/>
                <w:sz w:val="24"/>
              </w:rPr>
              <w:t>93301-ТПИР ОТМ-2021-ДРСК</w:t>
            </w:r>
            <w:r>
              <w:rPr>
                <w:b w:val="0"/>
                <w:sz w:val="24"/>
              </w:rPr>
              <w:t xml:space="preserve">: </w:t>
            </w:r>
            <w:r w:rsidR="00674C42" w:rsidRPr="00674C42">
              <w:rPr>
                <w:b w:val="0"/>
                <w:sz w:val="24"/>
              </w:rPr>
              <w:t xml:space="preserve">Высоковольтные выключатели 10кВ  </w:t>
            </w:r>
          </w:p>
          <w:p w14:paraId="5C2F78FC" w14:textId="0DA18417" w:rsidR="005A78D9" w:rsidRPr="00ED7A70" w:rsidRDefault="005A78D9" w:rsidP="00ED7A70">
            <w:pPr>
              <w:pStyle w:val="Tableheader"/>
              <w:widowControl w:val="0"/>
              <w:spacing w:before="0"/>
              <w:rPr>
                <w:b w:val="0"/>
                <w:i/>
                <w:sz w:val="24"/>
                <w:shd w:val="clear" w:color="auto" w:fill="FFFF99"/>
              </w:rPr>
            </w:pP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414DA13C"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674C42">
              <w:rPr>
                <w:rFonts w:ascii="Times New Roman" w:eastAsia="Times New Roman" w:hAnsi="Times New Roman"/>
                <w:noProof w:val="0"/>
                <w:snapToGrid w:val="0"/>
                <w:szCs w:val="24"/>
                <w:lang w:eastAsia="ru-RU"/>
              </w:rPr>
              <w:t>7 409 732,30</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07352DB3" w:rsidR="006C03D6" w:rsidRPr="004D64D2" w:rsidRDefault="006C03D6" w:rsidP="000E44F2">
            <w:pPr>
              <w:widowControl w:val="0"/>
              <w:spacing w:after="120"/>
              <w:rPr>
                <w:sz w:val="24"/>
                <w:szCs w:val="24"/>
              </w:rPr>
            </w:pPr>
            <w:r w:rsidRPr="004D64D2">
              <w:rPr>
                <w:sz w:val="24"/>
                <w:szCs w:val="24"/>
              </w:rPr>
              <w:t>«</w:t>
            </w:r>
            <w:r w:rsidR="008538F9" w:rsidRPr="004D64D2">
              <w:rPr>
                <w:sz w:val="24"/>
                <w:szCs w:val="24"/>
              </w:rPr>
              <w:t>2</w:t>
            </w:r>
            <w:r w:rsidR="00674C42">
              <w:rPr>
                <w:sz w:val="24"/>
                <w:szCs w:val="24"/>
              </w:rPr>
              <w:t>9</w:t>
            </w:r>
            <w:r w:rsidRPr="004D64D2">
              <w:rPr>
                <w:sz w:val="24"/>
                <w:szCs w:val="24"/>
              </w:rPr>
              <w:t xml:space="preserve">» </w:t>
            </w:r>
            <w:r w:rsidR="008538F9" w:rsidRPr="004D64D2">
              <w:rPr>
                <w:sz w:val="24"/>
                <w:szCs w:val="24"/>
              </w:rPr>
              <w:t>января 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4ADE7667" w:rsidR="006C03D6" w:rsidRPr="004D64D2" w:rsidRDefault="006C03D6" w:rsidP="00674C42">
            <w:pPr>
              <w:pStyle w:val="Tableheader"/>
              <w:widowControl w:val="0"/>
              <w:spacing w:after="120"/>
              <w:rPr>
                <w:b w:val="0"/>
                <w:snapToGrid w:val="0"/>
                <w:sz w:val="24"/>
              </w:rPr>
            </w:pPr>
            <w:r w:rsidRPr="004D64D2">
              <w:rPr>
                <w:b w:val="0"/>
                <w:sz w:val="24"/>
              </w:rPr>
              <w:t>«</w:t>
            </w:r>
            <w:r w:rsidR="00674C42">
              <w:rPr>
                <w:b w:val="0"/>
                <w:sz w:val="24"/>
              </w:rPr>
              <w:t>11</w:t>
            </w:r>
            <w:r w:rsidRPr="004D64D2">
              <w:rPr>
                <w:b w:val="0"/>
                <w:sz w:val="24"/>
              </w:rPr>
              <w:t xml:space="preserve">» </w:t>
            </w:r>
            <w:r w:rsidR="008538F9" w:rsidRPr="004D64D2">
              <w:rPr>
                <w:b w:val="0"/>
                <w:sz w:val="24"/>
              </w:rPr>
              <w:t>февраля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08ABAC7A"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044903" w:rsidRPr="004D64D2">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77777777" w:rsidR="008538F9" w:rsidRDefault="008538F9" w:rsidP="008538F9">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77777777" w:rsidR="008538F9" w:rsidRPr="00C677BC" w:rsidRDefault="008538F9" w:rsidP="008538F9">
      <w:pPr>
        <w:spacing w:before="0"/>
        <w:ind w:left="5811" w:hanging="11"/>
        <w:rPr>
          <w:sz w:val="24"/>
          <w:szCs w:val="24"/>
        </w:rPr>
      </w:pPr>
      <w:r w:rsidRPr="00C677BC">
        <w:rPr>
          <w:sz w:val="24"/>
          <w:szCs w:val="24"/>
        </w:rPr>
        <w:t xml:space="preserve">__________________ </w:t>
      </w:r>
      <w:r>
        <w:rPr>
          <w:sz w:val="24"/>
          <w:szCs w:val="24"/>
        </w:rPr>
        <w:t>В.А. Юхимук</w:t>
      </w:r>
    </w:p>
    <w:p w14:paraId="71B75623" w14:textId="2EF5CDE9"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января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7BE9B01" w14:textId="3396C958" w:rsidR="00ED7A70" w:rsidRPr="00674C42" w:rsidRDefault="00092482" w:rsidP="00ED7A70">
      <w:pPr>
        <w:spacing w:before="0"/>
        <w:jc w:val="center"/>
        <w:outlineLvl w:val="4"/>
        <w:rPr>
          <w:sz w:val="28"/>
          <w:szCs w:val="28"/>
        </w:rPr>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674C42" w:rsidRPr="00674C42">
        <w:rPr>
          <w:sz w:val="28"/>
          <w:szCs w:val="28"/>
        </w:rPr>
        <w:t xml:space="preserve">Высоковольтные выключатели 10кВ  </w:t>
      </w:r>
    </w:p>
    <w:p w14:paraId="1DB292DD" w14:textId="77777777" w:rsidR="00ED7A70" w:rsidRDefault="00ED7A70" w:rsidP="00ED7A70">
      <w:pPr>
        <w:pStyle w:val="Tableheader"/>
        <w:widowControl w:val="0"/>
        <w:spacing w:before="0"/>
        <w:rPr>
          <w:b w:val="0"/>
          <w:sz w:val="24"/>
        </w:rPr>
      </w:pPr>
    </w:p>
    <w:p w14:paraId="0DE20710" w14:textId="59561ED2" w:rsidR="00ED7A70" w:rsidRDefault="00ED7A70" w:rsidP="00ED7A70">
      <w:pPr>
        <w:pStyle w:val="Tableheader"/>
        <w:widowControl w:val="0"/>
        <w:spacing w:before="0"/>
        <w:jc w:val="center"/>
        <w:rPr>
          <w:b w:val="0"/>
          <w:sz w:val="24"/>
        </w:rPr>
      </w:pPr>
      <w:r>
        <w:rPr>
          <w:b w:val="0"/>
          <w:sz w:val="24"/>
        </w:rPr>
        <w:t>(</w:t>
      </w:r>
      <w:r w:rsidRPr="00ED7A70">
        <w:rPr>
          <w:b w:val="0"/>
          <w:sz w:val="24"/>
        </w:rPr>
        <w:t>лот №</w:t>
      </w:r>
      <w:r w:rsidR="00674C42">
        <w:rPr>
          <w:b w:val="0"/>
          <w:sz w:val="24"/>
        </w:rPr>
        <w:t xml:space="preserve"> </w:t>
      </w:r>
      <w:r w:rsidR="00674C42" w:rsidRPr="00674C42">
        <w:rPr>
          <w:b w:val="0"/>
          <w:sz w:val="24"/>
        </w:rPr>
        <w:t>93301-ТПИР ОТМ-2021-ДРСК</w:t>
      </w:r>
      <w:r>
        <w:rPr>
          <w:b w:val="0"/>
          <w:sz w:val="24"/>
        </w:rPr>
        <w:t>)</w:t>
      </w:r>
    </w:p>
    <w:p w14:paraId="2F39DCB8" w14:textId="062F11AE" w:rsidR="00D51C4F" w:rsidRPr="008538F9" w:rsidRDefault="00ED7A70" w:rsidP="00ED7A70">
      <w:pPr>
        <w:jc w:val="center"/>
        <w:rPr>
          <w:sz w:val="24"/>
          <w:szCs w:val="24"/>
        </w:rPr>
      </w:pPr>
      <w:r>
        <w:rPr>
          <w:b/>
          <w:sz w:val="24"/>
        </w:rPr>
        <w:t xml:space="preserve"> </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EA1CB5">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EA1CB5">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EA1CB5">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EA1CB5">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EA1CB5">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EA1CB5">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EA1CB5">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EA1CB5">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EA1CB5">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EA1CB5">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EA1CB5">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EA1CB5">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EA1CB5">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EA1CB5">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EA1CB5">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EA1CB5">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EA1CB5">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EA1CB5">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EA1CB5">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EA1CB5">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EA1CB5">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EA1CB5">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EA1CB5">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EA1CB5">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EA1CB5">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EA1CB5">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EA1CB5">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EA1CB5">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EA1CB5">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EA1CB5">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EA1CB5">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EA1CB5">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EA1CB5">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EA1CB5">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EA1CB5">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EA1CB5">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EA1CB5">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EA1CB5">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EA1CB5">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EA1CB5">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EA1CB5">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EA1CB5">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EA1CB5">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EA1CB5">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EA1CB5">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EA1CB5">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EA1CB5">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EA1CB5">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EA1CB5">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EA1CB5">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EA1CB5">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EA1CB5">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EA1CB5">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EA1CB5">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EA1CB5">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EA1CB5">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EA1CB5">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14C2618F" w:rsidR="000368E2" w:rsidRDefault="00EA1CB5">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C17A74" w14:textId="77777777" w:rsidR="00674C42" w:rsidRDefault="00674C42" w:rsidP="00674C42">
            <w:pPr>
              <w:pStyle w:val="Tableheader"/>
              <w:widowControl w:val="0"/>
              <w:spacing w:before="0"/>
              <w:rPr>
                <w:b w:val="0"/>
                <w:sz w:val="24"/>
              </w:rPr>
            </w:pPr>
            <w:r w:rsidRPr="00ED7A70">
              <w:rPr>
                <w:b w:val="0"/>
                <w:sz w:val="24"/>
              </w:rPr>
              <w:t>лот №</w:t>
            </w:r>
            <w:r w:rsidRPr="00674C42">
              <w:rPr>
                <w:b w:val="0"/>
                <w:sz w:val="24"/>
              </w:rPr>
              <w:t>93301-ТПИР ОТМ-2021-ДРСК</w:t>
            </w:r>
            <w:r>
              <w:rPr>
                <w:b w:val="0"/>
                <w:sz w:val="24"/>
              </w:rPr>
              <w:t xml:space="preserve">: </w:t>
            </w:r>
            <w:r w:rsidRPr="00674C42">
              <w:rPr>
                <w:b w:val="0"/>
                <w:sz w:val="24"/>
              </w:rPr>
              <w:t xml:space="preserve">Высоковольтные выключатели 10кВ  </w:t>
            </w:r>
          </w:p>
          <w:p w14:paraId="7E3C544F" w14:textId="3AE921C6" w:rsidR="004010E6" w:rsidRPr="00D53E6B" w:rsidRDefault="004010E6" w:rsidP="002B139F">
            <w:pPr>
              <w:spacing w:before="0"/>
              <w:jc w:val="left"/>
              <w:outlineLvl w:val="4"/>
              <w:rPr>
                <w:rStyle w:val="afa"/>
                <w:b w:val="0"/>
                <w:i w:val="0"/>
                <w:sz w:val="24"/>
                <w:szCs w:val="24"/>
                <w:shd w:val="clear" w:color="auto" w:fill="auto"/>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E0608FC" w:rsidR="00D11474" w:rsidRPr="00D53E6B" w:rsidRDefault="00CE67ED" w:rsidP="00674C42">
            <w:pPr>
              <w:rPr>
                <w:rStyle w:val="afa"/>
                <w:b w:val="0"/>
                <w:snapToGrid/>
                <w:sz w:val="24"/>
                <w:szCs w:val="24"/>
              </w:rPr>
            </w:pPr>
            <w:r w:rsidRPr="00D53E6B">
              <w:rPr>
                <w:sz w:val="24"/>
                <w:szCs w:val="24"/>
              </w:rPr>
              <w:t>2</w:t>
            </w:r>
            <w:r w:rsidR="00674C42">
              <w:rPr>
                <w:sz w:val="24"/>
                <w:szCs w:val="24"/>
              </w:rPr>
              <w:t>9</w:t>
            </w:r>
            <w:r w:rsidRPr="00D53E6B">
              <w:rPr>
                <w:sz w:val="24"/>
                <w:szCs w:val="24"/>
              </w:rPr>
              <w:t>.01.2021г.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A82EC3C"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674C42">
              <w:rPr>
                <w:rFonts w:ascii="Times New Roman" w:eastAsia="Times New Roman" w:hAnsi="Times New Roman"/>
                <w:noProof w:val="0"/>
                <w:snapToGrid w:val="0"/>
                <w:szCs w:val="24"/>
                <w:lang w:eastAsia="ru-RU"/>
              </w:rPr>
              <w:t>7 409 732,30</w:t>
            </w:r>
            <w:r w:rsidR="00CE67ED" w:rsidRPr="00D53E6B">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14D690D6"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044903" w:rsidRPr="00D53E6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044903" w:rsidRPr="00D53E6B">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517ED18"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044903" w:rsidRPr="00D53E6B">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90B55B4"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03AC14EB" w:rsidR="00A72AE8" w:rsidRPr="00D53E6B" w:rsidRDefault="00D11474" w:rsidP="00A72AE8">
            <w:pPr>
              <w:pStyle w:val="Tabletext"/>
              <w:spacing w:after="120"/>
              <w:rPr>
                <w:snapToGrid w:val="0"/>
                <w:sz w:val="24"/>
              </w:rPr>
            </w:pPr>
            <w:r w:rsidRPr="00D53E6B">
              <w:rPr>
                <w:sz w:val="24"/>
              </w:rPr>
              <w:t>«</w:t>
            </w:r>
            <w:r w:rsidR="00674C42">
              <w:rPr>
                <w:sz w:val="24"/>
              </w:rPr>
              <w:t>11</w:t>
            </w:r>
            <w:r w:rsidRPr="00D53E6B">
              <w:rPr>
                <w:sz w:val="24"/>
              </w:rPr>
              <w:t xml:space="preserve">» </w:t>
            </w:r>
            <w:r w:rsidR="00A72AE8" w:rsidRPr="00D53E6B">
              <w:rPr>
                <w:sz w:val="24"/>
              </w:rPr>
              <w:t>февраля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3CCCA2B"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044903" w:rsidRPr="00D53E6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4B02F943" w:rsidR="006058D6" w:rsidRPr="00D53E6B" w:rsidRDefault="006058D6" w:rsidP="006058D6">
            <w:pPr>
              <w:spacing w:after="120"/>
              <w:rPr>
                <w:b/>
                <w:i/>
                <w:sz w:val="24"/>
                <w:szCs w:val="24"/>
              </w:rPr>
            </w:pPr>
            <w:r w:rsidRPr="00D53E6B">
              <w:rPr>
                <w:b/>
                <w:i/>
                <w:sz w:val="24"/>
                <w:szCs w:val="24"/>
              </w:rPr>
              <w:t>«</w:t>
            </w:r>
            <w:r w:rsidR="00A72AE8" w:rsidRPr="00D53E6B">
              <w:rPr>
                <w:b/>
                <w:i/>
                <w:sz w:val="24"/>
                <w:szCs w:val="24"/>
              </w:rPr>
              <w:t>2</w:t>
            </w:r>
            <w:r w:rsidR="00674C42">
              <w:rPr>
                <w:b/>
                <w:i/>
                <w:sz w:val="24"/>
                <w:szCs w:val="24"/>
              </w:rPr>
              <w:t>9</w:t>
            </w:r>
            <w:r w:rsidRPr="00D53E6B">
              <w:rPr>
                <w:b/>
                <w:i/>
                <w:sz w:val="24"/>
                <w:szCs w:val="24"/>
              </w:rPr>
              <w:t xml:space="preserve">» </w:t>
            </w:r>
            <w:r w:rsidR="00A72AE8" w:rsidRPr="00D53E6B">
              <w:rPr>
                <w:b/>
                <w:i/>
                <w:sz w:val="24"/>
                <w:szCs w:val="24"/>
              </w:rPr>
              <w:t>января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255D6C1F" w:rsidR="00D11474" w:rsidRPr="00D53E6B" w:rsidRDefault="006058D6" w:rsidP="00674C42">
            <w:pPr>
              <w:pStyle w:val="Tabletext"/>
              <w:spacing w:after="120"/>
              <w:rPr>
                <w:rStyle w:val="afa"/>
                <w:b w:val="0"/>
                <w:i w:val="0"/>
                <w:snapToGrid w:val="0"/>
                <w:sz w:val="24"/>
                <w:shd w:val="clear" w:color="auto" w:fill="auto"/>
              </w:rPr>
            </w:pPr>
            <w:r w:rsidRPr="00D53E6B">
              <w:rPr>
                <w:b/>
                <w:i/>
                <w:sz w:val="24"/>
              </w:rPr>
              <w:t>«</w:t>
            </w:r>
            <w:r w:rsidR="00674C42">
              <w:rPr>
                <w:b/>
                <w:i/>
                <w:sz w:val="24"/>
              </w:rPr>
              <w:t>11</w:t>
            </w:r>
            <w:r w:rsidRPr="00D53E6B">
              <w:rPr>
                <w:b/>
                <w:i/>
                <w:sz w:val="24"/>
              </w:rPr>
              <w:t xml:space="preserve">» </w:t>
            </w:r>
            <w:r w:rsidR="00A72AE8" w:rsidRPr="00D53E6B">
              <w:rPr>
                <w:b/>
                <w:i/>
                <w:sz w:val="24"/>
              </w:rPr>
              <w:t>февраля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CE3F1CF"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0C7E46F3" w:rsidR="00D11474" w:rsidRPr="00D53E6B" w:rsidRDefault="00AD5255" w:rsidP="00674C42">
            <w:pPr>
              <w:pStyle w:val="Tabletext"/>
              <w:spacing w:after="120"/>
              <w:rPr>
                <w:sz w:val="24"/>
              </w:rPr>
            </w:pPr>
            <w:r w:rsidRPr="00D53E6B">
              <w:rPr>
                <w:b/>
                <w:i/>
                <w:snapToGrid w:val="0"/>
                <w:sz w:val="24"/>
              </w:rPr>
              <w:t>«</w:t>
            </w:r>
            <w:r w:rsidR="002B139F">
              <w:rPr>
                <w:b/>
                <w:i/>
                <w:snapToGrid w:val="0"/>
                <w:sz w:val="24"/>
              </w:rPr>
              <w:t>1</w:t>
            </w:r>
            <w:r w:rsidR="00674C42">
              <w:rPr>
                <w:b/>
                <w:i/>
                <w:snapToGrid w:val="0"/>
                <w:sz w:val="24"/>
              </w:rPr>
              <w:t>5</w:t>
            </w:r>
            <w:r w:rsidRPr="00D53E6B">
              <w:rPr>
                <w:b/>
                <w:i/>
                <w:snapToGrid w:val="0"/>
                <w:sz w:val="24"/>
              </w:rPr>
              <w:t>»</w:t>
            </w:r>
            <w:r w:rsidR="00F40A9A" w:rsidRPr="00D53E6B">
              <w:rPr>
                <w:b/>
                <w:i/>
                <w:snapToGrid w:val="0"/>
                <w:sz w:val="24"/>
              </w:rPr>
              <w:t> </w:t>
            </w:r>
            <w:r w:rsidR="00A72AE8" w:rsidRPr="00D53E6B">
              <w:rPr>
                <w:b/>
                <w:i/>
                <w:snapToGrid w:val="0"/>
                <w:sz w:val="24"/>
              </w:rPr>
              <w:t xml:space="preserve">марта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36784170" w:rsidR="00D11474" w:rsidRPr="00D53E6B" w:rsidRDefault="00785813" w:rsidP="00674C42">
            <w:pPr>
              <w:pStyle w:val="Tabletext"/>
              <w:spacing w:after="120"/>
              <w:rPr>
                <w:b/>
                <w:i/>
                <w:snapToGrid w:val="0"/>
                <w:sz w:val="24"/>
                <w:shd w:val="clear" w:color="auto" w:fill="FFFF99"/>
              </w:rPr>
            </w:pPr>
            <w:r w:rsidRPr="00D53E6B">
              <w:rPr>
                <w:b/>
                <w:i/>
                <w:snapToGrid w:val="0"/>
                <w:sz w:val="24"/>
              </w:rPr>
              <w:t>«</w:t>
            </w:r>
            <w:r w:rsidR="00674C42">
              <w:rPr>
                <w:b/>
                <w:i/>
                <w:snapToGrid w:val="0"/>
                <w:sz w:val="24"/>
              </w:rPr>
              <w:t>24</w:t>
            </w:r>
            <w:r w:rsidRPr="00D53E6B">
              <w:rPr>
                <w:b/>
                <w:i/>
                <w:snapToGrid w:val="0"/>
                <w:sz w:val="24"/>
              </w:rPr>
              <w:t>» </w:t>
            </w:r>
            <w:r w:rsidR="00A72AE8" w:rsidRPr="00D53E6B">
              <w:rPr>
                <w:b/>
                <w:i/>
                <w:snapToGrid w:val="0"/>
                <w:sz w:val="24"/>
              </w:rPr>
              <w:t>марта</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68D5568D"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580156CB"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E678423"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11309E2"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0862E614"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53"/>
      <w:r w:rsidR="00B627B1">
        <w:t>.</w:t>
      </w:r>
    </w:p>
    <w:p w14:paraId="441C0003" w14:textId="08D09FF6"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0D947D68"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2607F6D7"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24B8263C"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335076B4"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51"/>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4986092B"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7F00B042"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5AB9B866"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34602BDC"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5"/>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4"/>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428A58C1"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5FFCEBC9"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5F4FD940"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5E277D2D"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15EA91AF"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728423A4"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0FE8FA85"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07136F19"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7015FDDF"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F76923">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9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EA1CB5"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B30B0" w14:textId="77777777" w:rsidR="00EA1CB5" w:rsidRDefault="00EA1CB5">
      <w:r>
        <w:separator/>
      </w:r>
    </w:p>
  </w:endnote>
  <w:endnote w:type="continuationSeparator" w:id="0">
    <w:p w14:paraId="3786337F" w14:textId="77777777" w:rsidR="00EA1CB5" w:rsidRDefault="00EA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87D38B0" w:rsidR="00ED7A70" w:rsidRDefault="00ED7A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692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6923">
      <w:rPr>
        <w:i/>
        <w:noProof/>
        <w:sz w:val="24"/>
        <w:szCs w:val="24"/>
      </w:rPr>
      <w:t>137</w:t>
    </w:r>
    <w:r w:rsidRPr="00B54ABF">
      <w:rPr>
        <w:i/>
        <w:sz w:val="24"/>
        <w:szCs w:val="24"/>
      </w:rPr>
      <w:fldChar w:fldCharType="end"/>
    </w:r>
  </w:p>
  <w:p w14:paraId="7D435DF6" w14:textId="77777777" w:rsidR="00ED7A70" w:rsidRDefault="00ED7A70">
    <w:pPr>
      <w:pStyle w:val="a9"/>
    </w:pPr>
  </w:p>
  <w:p w14:paraId="1C78909E" w14:textId="77777777" w:rsidR="00ED7A70" w:rsidRDefault="00ED7A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ED7A70" w:rsidRPr="00B54ABF" w:rsidRDefault="00ED7A70" w:rsidP="00B54ABF">
    <w:pPr>
      <w:tabs>
        <w:tab w:val="right" w:pos="10260"/>
      </w:tabs>
      <w:rPr>
        <w:i/>
        <w:sz w:val="24"/>
        <w:szCs w:val="24"/>
      </w:rPr>
    </w:pPr>
    <w:r>
      <w:rPr>
        <w:sz w:val="20"/>
      </w:rPr>
      <w:tab/>
    </w:r>
  </w:p>
  <w:p w14:paraId="5F3594D2" w14:textId="77777777" w:rsidR="00ED7A70" w:rsidRPr="00B54ABF" w:rsidRDefault="00ED7A70" w:rsidP="00B54ABF">
    <w:pPr>
      <w:tabs>
        <w:tab w:val="right" w:pos="10260"/>
      </w:tabs>
      <w:rPr>
        <w:i/>
        <w:sz w:val="24"/>
        <w:szCs w:val="24"/>
      </w:rPr>
    </w:pPr>
  </w:p>
  <w:p w14:paraId="259B2B2F" w14:textId="4937E7CD" w:rsidR="00ED7A70" w:rsidRDefault="00ED7A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692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6923">
      <w:rPr>
        <w:i/>
        <w:noProof/>
        <w:sz w:val="24"/>
        <w:szCs w:val="24"/>
      </w:rPr>
      <w:t>119</w:t>
    </w:r>
    <w:r w:rsidRPr="00B54ABF">
      <w:rPr>
        <w:i/>
        <w:sz w:val="24"/>
        <w:szCs w:val="24"/>
      </w:rPr>
      <w:fldChar w:fldCharType="end"/>
    </w:r>
  </w:p>
  <w:p w14:paraId="4CD47D52" w14:textId="77777777" w:rsidR="00ED7A70" w:rsidRDefault="00ED7A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4D5204D" w:rsidR="00ED7A70" w:rsidRDefault="00ED7A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6923">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6923">
      <w:rPr>
        <w:i/>
        <w:noProof/>
        <w:sz w:val="24"/>
        <w:szCs w:val="24"/>
      </w:rPr>
      <w:t>137</w:t>
    </w:r>
    <w:r w:rsidRPr="00B54ABF">
      <w:rPr>
        <w:i/>
        <w:sz w:val="24"/>
        <w:szCs w:val="24"/>
      </w:rPr>
      <w:fldChar w:fldCharType="end"/>
    </w:r>
  </w:p>
  <w:p w14:paraId="178A4A24" w14:textId="77777777" w:rsidR="00ED7A70" w:rsidRDefault="00ED7A70">
    <w:pPr>
      <w:pStyle w:val="a9"/>
    </w:pPr>
  </w:p>
  <w:p w14:paraId="2F4B0C50" w14:textId="77777777" w:rsidR="00ED7A70" w:rsidRDefault="00ED7A7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D7A70" w:rsidRPr="00B54ABF" w:rsidRDefault="00ED7A70" w:rsidP="00B54ABF">
    <w:pPr>
      <w:tabs>
        <w:tab w:val="right" w:pos="10260"/>
      </w:tabs>
      <w:rPr>
        <w:i/>
        <w:sz w:val="24"/>
        <w:szCs w:val="24"/>
      </w:rPr>
    </w:pPr>
    <w:r>
      <w:rPr>
        <w:sz w:val="20"/>
      </w:rPr>
      <w:tab/>
    </w:r>
  </w:p>
  <w:p w14:paraId="0F135095" w14:textId="77777777" w:rsidR="00ED7A70" w:rsidRPr="00B54ABF" w:rsidRDefault="00ED7A70" w:rsidP="00B54ABF">
    <w:pPr>
      <w:tabs>
        <w:tab w:val="right" w:pos="10260"/>
      </w:tabs>
      <w:rPr>
        <w:i/>
        <w:sz w:val="24"/>
        <w:szCs w:val="24"/>
      </w:rPr>
    </w:pPr>
  </w:p>
  <w:p w14:paraId="5F278EC7" w14:textId="7784F0FB" w:rsidR="00ED7A70" w:rsidRDefault="00ED7A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692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6923">
      <w:rPr>
        <w:i/>
        <w:noProof/>
        <w:sz w:val="24"/>
        <w:szCs w:val="24"/>
      </w:rPr>
      <w:t>137</w:t>
    </w:r>
    <w:r w:rsidRPr="00B54ABF">
      <w:rPr>
        <w:i/>
        <w:sz w:val="24"/>
        <w:szCs w:val="24"/>
      </w:rPr>
      <w:fldChar w:fldCharType="end"/>
    </w:r>
  </w:p>
  <w:p w14:paraId="730720D1" w14:textId="77777777" w:rsidR="00ED7A70" w:rsidRDefault="00ED7A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B88ED" w14:textId="77777777" w:rsidR="00EA1CB5" w:rsidRDefault="00EA1CB5">
      <w:r>
        <w:separator/>
      </w:r>
    </w:p>
  </w:footnote>
  <w:footnote w:type="continuationSeparator" w:id="0">
    <w:p w14:paraId="055B8E93" w14:textId="77777777" w:rsidR="00EA1CB5" w:rsidRDefault="00EA1CB5">
      <w:r>
        <w:continuationSeparator/>
      </w:r>
    </w:p>
  </w:footnote>
  <w:footnote w:id="1">
    <w:p w14:paraId="2F6DBBCC" w14:textId="77777777" w:rsidR="00ED7A70" w:rsidRDefault="00ED7A7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ED7A70" w:rsidRDefault="00ED7A70"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ED7A70" w:rsidRDefault="00ED7A7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ED7A70" w:rsidRDefault="00ED7A7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D7A70" w:rsidRDefault="00ED7A7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ED7A70" w:rsidRDefault="00ED7A70"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ED7A70" w:rsidRDefault="00ED7A7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ED7A70" w:rsidRDefault="00ED7A7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ED7A70" w:rsidRDefault="00ED7A7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ED7A70" w:rsidRDefault="00ED7A70"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ED7A70" w:rsidRDefault="00ED7A70"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ED7A70" w:rsidRDefault="00ED7A7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ED7A70" w:rsidRDefault="00ED7A7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D7A70" w:rsidRDefault="00ED7A70"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ED7A70" w:rsidRDefault="00ED7A7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ED7A70" w:rsidRDefault="00ED7A7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ED7A70" w:rsidRDefault="00ED7A7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ED7A70" w:rsidRDefault="00ED7A7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ED7A70" w:rsidRDefault="00ED7A7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ED7A70" w:rsidRDefault="00ED7A7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ED7A70" w:rsidRDefault="00ED7A7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ED7A70" w:rsidRDefault="00ED7A7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D7A70" w:rsidRDefault="00ED7A7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D7A70" w:rsidRDefault="00ED7A7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ED7A70" w:rsidRDefault="00ED7A7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ED7A70" w:rsidRDefault="00ED7A7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ED7A70" w:rsidRDefault="00ED7A7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ED7A70" w:rsidRDefault="00ED7A7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D7A70" w:rsidRDefault="00ED7A7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ED7A70" w:rsidRDefault="00ED7A7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ED7A70" w:rsidRDefault="00ED7A7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ED7A70" w:rsidRDefault="00ED7A7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ED7A70" w:rsidRDefault="00ED7A7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ED7A70" w:rsidRDefault="00ED7A7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ED7A70" w:rsidRDefault="00ED7A7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ED7A70" w:rsidRDefault="00ED7A7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ED7A70" w:rsidRDefault="00ED7A7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ED7A70" w:rsidRDefault="00ED7A7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ED7A70" w:rsidRDefault="00ED7A7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ED7A70" w:rsidRPr="00033B77" w:rsidRDefault="00ED7A7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ED7A70" w:rsidRDefault="00ED7A7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1CB5"/>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923"/>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CB62-6437-4824-9E68-055D9335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37807</Words>
  <Characters>215504</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252806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18</cp:revision>
  <cp:lastPrinted>2018-05-25T11:25:00Z</cp:lastPrinted>
  <dcterms:created xsi:type="dcterms:W3CDTF">2021-01-20T11:50:00Z</dcterms:created>
  <dcterms:modified xsi:type="dcterms:W3CDTF">2021-01-29T06:38:00Z</dcterms:modified>
</cp:coreProperties>
</file>