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050D37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F86E6B" w:rsidRDefault="00F86E6B" w:rsidP="00F86E6B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86E6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6/0,4 кВ г.Партизанск с заменой ТП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995877" w:rsidRPr="00B41879" w:rsidRDefault="007B14B6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7B14B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995877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="00995877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901FE" w:rsidRPr="006901FE" w:rsidRDefault="00073695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697EC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: </w:t>
      </w:r>
      <w:r w:rsidR="000B1DF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6/0,4 кВ Партизанского ГО (ВЛ 6кВ - 121,6км, КЛ 6кВ -0,6км., ВЛ-0,4 кВ - 47,8км, замена КТП -30 шт.) (</w:t>
      </w:r>
      <w:r w:rsidR="000B1DF9">
        <w:rPr>
          <w:rFonts w:ascii="Times New Roman" w:hAnsi="Times New Roman" w:cs="Times New Roman"/>
          <w:sz w:val="24"/>
          <w:szCs w:val="24"/>
          <w:lang w:eastAsia="ru-RU"/>
        </w:rPr>
        <w:t>L_25-ПЭС-1636).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073695" w:rsidRDefault="009546C3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 w:rsidR="00697EC8">
        <w:rPr>
          <w:rFonts w:ascii="Times New Roman" w:hAnsi="Times New Roman"/>
          <w:b/>
          <w:sz w:val="26"/>
          <w:szCs w:val="26"/>
        </w:rPr>
        <w:t xml:space="preserve"> </w:t>
      </w:r>
      <w:r w:rsidR="00697EC8" w:rsidRPr="00697EC8">
        <w:rPr>
          <w:rFonts w:ascii="Times New Roman" w:hAnsi="Times New Roman"/>
          <w:sz w:val="26"/>
          <w:szCs w:val="26"/>
        </w:rPr>
        <w:t>в</w:t>
      </w:r>
      <w:r w:rsidRPr="00697EC8">
        <w:rPr>
          <w:rFonts w:ascii="Times New Roman" w:hAnsi="Times New Roman"/>
          <w:sz w:val="26"/>
          <w:szCs w:val="26"/>
        </w:rPr>
        <w:t xml:space="preserve"> соответствии с утвержденной Заказчиком рабочей документацией выполнить реконструкции по следующим объектам: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F86E6B" w:rsidP="006E0FCB">
            <w:r w:rsidRPr="00F86E6B">
              <w:t>ТП-7358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084815" w:rsidRDefault="00351FA7" w:rsidP="00B63BEA">
            <w:pPr>
              <w:jc w:val="center"/>
            </w:pPr>
            <w:r w:rsidRPr="00B63BEA">
              <w:t>PR00</w:t>
            </w:r>
            <w:r w:rsidR="00B63BEA" w:rsidRPr="00B63BEA">
              <w:t>02613</w:t>
            </w:r>
          </w:p>
        </w:tc>
        <w:tc>
          <w:tcPr>
            <w:tcW w:w="2687" w:type="dxa"/>
            <w:vAlign w:val="center"/>
          </w:tcPr>
          <w:p w:rsidR="00351FA7" w:rsidRPr="00351FA7" w:rsidRDefault="006E0FCB" w:rsidP="006901FE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630кВА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F86E6B" w:rsidP="00124DDA">
            <w:r w:rsidRPr="00F86E6B">
              <w:t>ТП-7359</w:t>
            </w:r>
            <w:r w:rsidR="00D037A7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351FA7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02614</w:t>
            </w:r>
          </w:p>
        </w:tc>
        <w:tc>
          <w:tcPr>
            <w:tcW w:w="2687" w:type="dxa"/>
            <w:vAlign w:val="center"/>
          </w:tcPr>
          <w:p w:rsidR="00351FA7" w:rsidRPr="00A67F69" w:rsidRDefault="00F86E6B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6901FE" w:rsidRPr="00A67F69" w:rsidTr="002568D6">
        <w:tc>
          <w:tcPr>
            <w:tcW w:w="667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F86E6B" w:rsidP="00D15B1A">
            <w:r w:rsidRPr="00F86E6B">
              <w:t>ТП-73</w:t>
            </w:r>
            <w:r w:rsidR="00D15B1A">
              <w:t>82</w:t>
            </w:r>
            <w:r w:rsidR="00D037A7">
              <w:t xml:space="preserve">  160кВА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D15B1A" w:rsidP="00D15B1A">
            <w:pPr>
              <w:jc w:val="center"/>
            </w:pPr>
            <w:r>
              <w:t>Авангард, Партизанский ГО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D15B1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026</w:t>
            </w:r>
            <w:r w:rsidR="00D15B1A">
              <w:t>22</w:t>
            </w:r>
          </w:p>
        </w:tc>
        <w:tc>
          <w:tcPr>
            <w:tcW w:w="2687" w:type="dxa"/>
            <w:vAlign w:val="center"/>
          </w:tcPr>
          <w:p w:rsidR="006901FE" w:rsidRPr="00124DDA" w:rsidRDefault="007B14B6" w:rsidP="006E0FC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6901FE" w:rsidRPr="00A67F69" w:rsidTr="002568D6">
        <w:tc>
          <w:tcPr>
            <w:tcW w:w="667" w:type="dxa"/>
            <w:vAlign w:val="center"/>
          </w:tcPr>
          <w:p w:rsidR="006901FE" w:rsidRDefault="006901FE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6901FE" w:rsidRDefault="00F86E6B" w:rsidP="00124DDA">
            <w:r w:rsidRPr="00F86E6B">
              <w:t>ВЛ-0,4 кВ Ф-2 ТП-7360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1FE" w:rsidRPr="00124DDA" w:rsidRDefault="006901FE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03136</w:t>
            </w:r>
          </w:p>
        </w:tc>
        <w:tc>
          <w:tcPr>
            <w:tcW w:w="2687" w:type="dxa"/>
            <w:vAlign w:val="center"/>
          </w:tcPr>
          <w:p w:rsidR="006901FE" w:rsidRPr="00124DDA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 </w:t>
            </w:r>
            <w:r w:rsidRPr="00124DDA">
              <w:t>шт.)</w:t>
            </w:r>
          </w:p>
        </w:tc>
      </w:tr>
      <w:tr w:rsidR="009528DF" w:rsidRPr="00A67F69" w:rsidTr="002568D6">
        <w:tc>
          <w:tcPr>
            <w:tcW w:w="667" w:type="dxa"/>
            <w:vAlign w:val="center"/>
          </w:tcPr>
          <w:p w:rsidR="009528DF" w:rsidRDefault="009528DF" w:rsidP="009528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Pr="006901FE" w:rsidRDefault="00F86E6B" w:rsidP="009528DF">
            <w:r w:rsidRPr="00F86E6B">
              <w:t>ВЛ-0,4 кВ Ф-9 ТП-7360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8DF" w:rsidRPr="00124DDA" w:rsidRDefault="009528DF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03136</w:t>
            </w:r>
          </w:p>
        </w:tc>
        <w:tc>
          <w:tcPr>
            <w:tcW w:w="2687" w:type="dxa"/>
            <w:vAlign w:val="center"/>
          </w:tcPr>
          <w:p w:rsidR="009528DF" w:rsidRPr="00124DDA" w:rsidRDefault="00F86E6B" w:rsidP="009528DF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D5DA7" w:rsidRDefault="00F86E6B" w:rsidP="007B14B6">
            <w:r w:rsidRPr="00F86E6B">
              <w:t>ВЛ-0,4 кВ Ф-13 ТП-7360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03136</w:t>
            </w:r>
          </w:p>
        </w:tc>
        <w:tc>
          <w:tcPr>
            <w:tcW w:w="2687" w:type="dxa"/>
            <w:vAlign w:val="center"/>
          </w:tcPr>
          <w:p w:rsidR="007B14B6" w:rsidRPr="00124DDA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F86E6B" w:rsidP="007B14B6">
            <w:r w:rsidRPr="00F86E6B">
              <w:t>ВЛ-0,4 кВ Ф-14 ТП-7360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03136</w:t>
            </w:r>
          </w:p>
        </w:tc>
        <w:tc>
          <w:tcPr>
            <w:tcW w:w="2687" w:type="dxa"/>
            <w:vAlign w:val="center"/>
          </w:tcPr>
          <w:p w:rsidR="007B14B6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7 </w:t>
            </w:r>
            <w:r w:rsidRPr="00124DDA">
              <w:t>шт.)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7B14B6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F86E6B" w:rsidP="007B14B6">
            <w:r w:rsidRPr="00F86E6B">
              <w:t>ТП-7364</w:t>
            </w:r>
            <w:r w:rsidR="00D037A7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7B14B6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7B14B6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02616</w:t>
            </w:r>
          </w:p>
        </w:tc>
        <w:tc>
          <w:tcPr>
            <w:tcW w:w="2687" w:type="dxa"/>
            <w:vAlign w:val="center"/>
          </w:tcPr>
          <w:p w:rsidR="007B14B6" w:rsidRDefault="00F86E6B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7B14B6" w:rsidRPr="00A67F69" w:rsidTr="002568D6">
        <w:tc>
          <w:tcPr>
            <w:tcW w:w="667" w:type="dxa"/>
            <w:vAlign w:val="center"/>
          </w:tcPr>
          <w:p w:rsidR="007B14B6" w:rsidRDefault="00F86E6B" w:rsidP="007B14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6901FE" w:rsidRDefault="00F86E6B" w:rsidP="007B14B6">
            <w:r w:rsidRPr="00F86E6B">
              <w:t>ТП-7365</w:t>
            </w:r>
            <w:r w:rsidR="00D037A7">
              <w:t xml:space="preserve"> 160кВА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Default="00F86E6B" w:rsidP="00F86E6B">
            <w:pPr>
              <w:jc w:val="center"/>
            </w:pPr>
            <w:r w:rsidRPr="007B14B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4B6" w:rsidRPr="00124DDA" w:rsidRDefault="00F86E6B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02617</w:t>
            </w:r>
          </w:p>
        </w:tc>
        <w:tc>
          <w:tcPr>
            <w:tcW w:w="2687" w:type="dxa"/>
            <w:vAlign w:val="center"/>
          </w:tcPr>
          <w:p w:rsidR="007B14B6" w:rsidRDefault="00F86E6B" w:rsidP="007B14B6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6E0FCB" w:rsidRDefault="00F86E6B" w:rsidP="00F86E6B">
            <w:r w:rsidRPr="00F86E6B">
              <w:t>ВЛ-0,4 кВ Ф-1 ТП-7365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03065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8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6E0FCB" w:rsidRDefault="00F86E6B" w:rsidP="00F86E6B">
            <w:r w:rsidRPr="00F86E6B">
              <w:t>ВЛ-0,4 кВ Ф-2 ТП-7365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03065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0,7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18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6E0FCB" w:rsidRDefault="00F86E6B" w:rsidP="00F86E6B">
            <w:r w:rsidRPr="00F86E6B">
              <w:t>ВЛ-0,4 кВ Ф-3 ТП-7365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03065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25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7B14B6" w:rsidRDefault="00F86E6B" w:rsidP="00F86E6B">
            <w:r w:rsidRPr="00F86E6B">
              <w:t>ВЛ-0,4 кВ Ф-1,2,3 ТП-7365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03065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4,2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53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7B14B6" w:rsidRDefault="00F86E6B" w:rsidP="00F86E6B">
            <w:r w:rsidRPr="00F86E6B">
              <w:t>ТП-7387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02623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7B14B6" w:rsidRDefault="00F86E6B" w:rsidP="00F86E6B">
            <w:r w:rsidRPr="00F86E6B">
              <w:t>ТП-7391</w:t>
            </w:r>
            <w:r w:rsidR="00D037A7">
              <w:t xml:space="preserve"> 250кВА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02624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F86E6B" w:rsidP="00D15B1A">
            <w:r w:rsidRPr="00F86E6B">
              <w:t>ТП-741</w:t>
            </w:r>
            <w:r w:rsidR="00D15B1A">
              <w:t>2</w:t>
            </w:r>
            <w:r w:rsidR="00D037A7">
              <w:t xml:space="preserve"> 160кВА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D15B1A">
            <w:pPr>
              <w:jc w:val="center"/>
            </w:pPr>
            <w:r w:rsidRPr="00D15B1A">
              <w:t>PR00</w:t>
            </w:r>
            <w:r w:rsidR="00B63BEA" w:rsidRPr="00D15B1A">
              <w:t>02</w:t>
            </w:r>
            <w:r w:rsidR="00D15B1A" w:rsidRPr="00D15B1A">
              <w:t>404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F86E6B" w:rsidP="00F86E6B">
            <w:r w:rsidRPr="00F86E6B">
              <w:t>ВЛ-0,4 кВ Ф-2 ТП-7411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03075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1,2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31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F86E6B" w:rsidP="00F86E6B">
            <w:r w:rsidRPr="00F86E6B">
              <w:t>ВЛ-0,4 кВ Ф-3 ТП-7411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03075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 xml:space="preserve">0,3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 xml:space="preserve">7 </w:t>
            </w:r>
            <w:r w:rsidRPr="00124DDA">
              <w:t>шт.)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F86E6B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F86E6B" w:rsidP="00F86E6B">
            <w:r w:rsidRPr="00F86E6B">
              <w:t>ТП-7417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02628</w:t>
            </w:r>
          </w:p>
        </w:tc>
        <w:tc>
          <w:tcPr>
            <w:tcW w:w="2687" w:type="dxa"/>
            <w:vAlign w:val="center"/>
          </w:tcPr>
          <w:p w:rsidR="00F86E6B" w:rsidRDefault="00F86E6B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C91D73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C91D73" w:rsidP="00F86E6B">
            <w:r w:rsidRPr="00C91D73">
              <w:t>ТП-7428</w:t>
            </w:r>
            <w:r w:rsidR="00D037A7">
              <w:t xml:space="preserve"> 180кВА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C91D73">
            <w:pPr>
              <w:jc w:val="center"/>
            </w:pPr>
            <w:r w:rsidRPr="00EF79AF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02632</w:t>
            </w:r>
          </w:p>
        </w:tc>
        <w:tc>
          <w:tcPr>
            <w:tcW w:w="2687" w:type="dxa"/>
            <w:vAlign w:val="center"/>
          </w:tcPr>
          <w:p w:rsidR="00F86E6B" w:rsidRDefault="00C91D73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C91D73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C91D73" w:rsidP="00F86E6B">
            <w:r w:rsidRPr="00C91D73">
              <w:t>ТП-7431</w:t>
            </w:r>
            <w:r w:rsidR="00D037A7">
              <w:t xml:space="preserve"> 180кВА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C91D73">
            <w:pPr>
              <w:jc w:val="center"/>
            </w:pPr>
            <w:r w:rsidRPr="00EF79AF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02635</w:t>
            </w:r>
          </w:p>
        </w:tc>
        <w:tc>
          <w:tcPr>
            <w:tcW w:w="2687" w:type="dxa"/>
            <w:vAlign w:val="center"/>
          </w:tcPr>
          <w:p w:rsidR="00F86E6B" w:rsidRDefault="00C91D73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250кВА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C91D73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F86E6B" w:rsidRDefault="00C91D73" w:rsidP="00F86E6B">
            <w:r w:rsidRPr="00C91D73">
              <w:t>ТП-7436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C91D73">
            <w:pPr>
              <w:jc w:val="center"/>
            </w:pPr>
            <w:r w:rsidRPr="00EF79AF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02638</w:t>
            </w:r>
          </w:p>
        </w:tc>
        <w:tc>
          <w:tcPr>
            <w:tcW w:w="2687" w:type="dxa"/>
            <w:vAlign w:val="center"/>
          </w:tcPr>
          <w:p w:rsidR="00F86E6B" w:rsidRDefault="00C91D73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C91D73" w:rsidRPr="00A67F69" w:rsidTr="002568D6">
        <w:tc>
          <w:tcPr>
            <w:tcW w:w="667" w:type="dxa"/>
            <w:vAlign w:val="center"/>
          </w:tcPr>
          <w:p w:rsidR="00C91D73" w:rsidRDefault="00C91D73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D73" w:rsidRPr="00C91D73" w:rsidRDefault="00C91D73" w:rsidP="00F86E6B">
            <w:r w:rsidRPr="00C91D73">
              <w:t>ТП-7452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D73" w:rsidRPr="00EF79AF" w:rsidRDefault="00C91D73" w:rsidP="00C91D73">
            <w:pPr>
              <w:jc w:val="center"/>
            </w:pPr>
            <w:r w:rsidRPr="00EF79AF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D73" w:rsidRPr="00F655FB" w:rsidRDefault="00C91D73" w:rsidP="00B63BEA">
            <w:pPr>
              <w:jc w:val="center"/>
              <w:rPr>
                <w:highlight w:val="yellow"/>
              </w:rPr>
            </w:pPr>
            <w:r w:rsidRPr="00B63BEA">
              <w:t>PR00</w:t>
            </w:r>
            <w:r w:rsidR="00B63BEA" w:rsidRPr="00B63BEA">
              <w:t>02641</w:t>
            </w:r>
          </w:p>
        </w:tc>
        <w:tc>
          <w:tcPr>
            <w:tcW w:w="2687" w:type="dxa"/>
            <w:vAlign w:val="center"/>
          </w:tcPr>
          <w:p w:rsidR="00C91D73" w:rsidRDefault="00C91D73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  <w:tr w:rsidR="00F86E6B" w:rsidRPr="00A67F69" w:rsidTr="002568D6">
        <w:tc>
          <w:tcPr>
            <w:tcW w:w="667" w:type="dxa"/>
            <w:vAlign w:val="center"/>
          </w:tcPr>
          <w:p w:rsidR="00F86E6B" w:rsidRDefault="00C91D73" w:rsidP="00F86E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Pr="00403BC7" w:rsidRDefault="00C91D73" w:rsidP="00F86E6B">
            <w:r w:rsidRPr="00C91D73">
              <w:t>ТП-7466</w:t>
            </w:r>
            <w:r w:rsidR="00D037A7">
              <w:t xml:space="preserve"> 400кВА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F86E6B">
            <w:pPr>
              <w:jc w:val="center"/>
            </w:pPr>
            <w:r w:rsidRPr="006D3A66">
              <w:t>г.Партизанск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E6B" w:rsidRDefault="00F86E6B" w:rsidP="00B63BEA">
            <w:pPr>
              <w:jc w:val="center"/>
            </w:pPr>
            <w:r w:rsidRPr="00B63BEA">
              <w:t>PR00</w:t>
            </w:r>
            <w:r w:rsidR="00B63BEA" w:rsidRPr="00B63BEA">
              <w:t>02645</w:t>
            </w:r>
          </w:p>
        </w:tc>
        <w:tc>
          <w:tcPr>
            <w:tcW w:w="2687" w:type="dxa"/>
            <w:vAlign w:val="center"/>
          </w:tcPr>
          <w:p w:rsidR="00F86E6B" w:rsidRDefault="00C91D73" w:rsidP="00F86E6B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Замена ТП</w:t>
            </w:r>
            <w:r w:rsidR="00D037A7">
              <w:t xml:space="preserve"> на 400кВА</w:t>
            </w:r>
          </w:p>
        </w:tc>
      </w:tr>
    </w:tbl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.11.1. Использовать полученные от Заказчика исходные данные, а также другую документацию и информацию только для достижения целей,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lastRenderedPageBreak/>
        <w:t>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A51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Кол-во.</w:t>
            </w:r>
          </w:p>
        </w:tc>
      </w:tr>
      <w:tr w:rsidR="00BD77DF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BD77DF" w:rsidP="00D05E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ТП </w:t>
            </w:r>
            <w:r w:rsidR="00D05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/0,4кВ,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77DF" w:rsidRPr="00995877" w:rsidRDefault="002436F6" w:rsidP="00243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BD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2436F6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</w:tr>
      <w:tr w:rsidR="00622498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98" w:rsidRDefault="00622498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 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98" w:rsidRDefault="00622498" w:rsidP="00D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</w:tr>
    </w:tbl>
    <w:p w:rsidR="00EE25A6" w:rsidRDefault="00EE25A6" w:rsidP="00EE25A6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203C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Стоимость материалов включает стоимость доставки и погрузо-разгрузочные работы на складе или объекте (в соответствии с договором)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25A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B21347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B213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B21347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8206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5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B21347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</w:t>
      </w:r>
      <w:r w:rsidR="00F663B9"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B21347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B21347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B2134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B2134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21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B2134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050D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процессе проведения строительных работ и после их завершения,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2134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B2134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B2134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B213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5EB" w:rsidRDefault="006715EB" w:rsidP="00436B15">
      <w:pPr>
        <w:spacing w:after="0" w:line="240" w:lineRule="auto"/>
      </w:pPr>
      <w:r>
        <w:separator/>
      </w:r>
    </w:p>
  </w:endnote>
  <w:endnote w:type="continuationSeparator" w:id="0">
    <w:p w:rsidR="006715EB" w:rsidRDefault="006715EB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5EB" w:rsidRDefault="006715EB" w:rsidP="00436B15">
      <w:pPr>
        <w:spacing w:after="0" w:line="240" w:lineRule="auto"/>
      </w:pPr>
      <w:r>
        <w:separator/>
      </w:r>
    </w:p>
  </w:footnote>
  <w:footnote w:type="continuationSeparator" w:id="0">
    <w:p w:rsidR="006715EB" w:rsidRDefault="006715EB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7C45"/>
    <w:rsid w:val="00050D37"/>
    <w:rsid w:val="00063A80"/>
    <w:rsid w:val="00067D42"/>
    <w:rsid w:val="000734C2"/>
    <w:rsid w:val="00073695"/>
    <w:rsid w:val="00082771"/>
    <w:rsid w:val="00097775"/>
    <w:rsid w:val="000A16B7"/>
    <w:rsid w:val="000A6E74"/>
    <w:rsid w:val="000B0409"/>
    <w:rsid w:val="000B1DF9"/>
    <w:rsid w:val="000B2F83"/>
    <w:rsid w:val="000D2729"/>
    <w:rsid w:val="000D7E33"/>
    <w:rsid w:val="000E6DAE"/>
    <w:rsid w:val="001021FC"/>
    <w:rsid w:val="001046F8"/>
    <w:rsid w:val="00105F94"/>
    <w:rsid w:val="00124DDA"/>
    <w:rsid w:val="00125CAE"/>
    <w:rsid w:val="00156EF2"/>
    <w:rsid w:val="00162F53"/>
    <w:rsid w:val="00165339"/>
    <w:rsid w:val="0016699E"/>
    <w:rsid w:val="00176940"/>
    <w:rsid w:val="0018506B"/>
    <w:rsid w:val="00187B1F"/>
    <w:rsid w:val="00191FE6"/>
    <w:rsid w:val="00192178"/>
    <w:rsid w:val="001A4A6F"/>
    <w:rsid w:val="001B6A1F"/>
    <w:rsid w:val="001C2128"/>
    <w:rsid w:val="001C4823"/>
    <w:rsid w:val="001C494F"/>
    <w:rsid w:val="001D4D10"/>
    <w:rsid w:val="001D5DA7"/>
    <w:rsid w:val="001D6587"/>
    <w:rsid w:val="001F6C27"/>
    <w:rsid w:val="001F7E8A"/>
    <w:rsid w:val="00203C2A"/>
    <w:rsid w:val="00211C59"/>
    <w:rsid w:val="00240E17"/>
    <w:rsid w:val="002436F6"/>
    <w:rsid w:val="00262B56"/>
    <w:rsid w:val="00280D2E"/>
    <w:rsid w:val="00291C5B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6AA8"/>
    <w:rsid w:val="003D33FD"/>
    <w:rsid w:val="003E51D8"/>
    <w:rsid w:val="003E687B"/>
    <w:rsid w:val="004031C2"/>
    <w:rsid w:val="00403BC7"/>
    <w:rsid w:val="004077D3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23DE"/>
    <w:rsid w:val="0048335D"/>
    <w:rsid w:val="00485A80"/>
    <w:rsid w:val="0049737A"/>
    <w:rsid w:val="004A4A9C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237D9"/>
    <w:rsid w:val="005270F7"/>
    <w:rsid w:val="00535730"/>
    <w:rsid w:val="005475F4"/>
    <w:rsid w:val="005543FE"/>
    <w:rsid w:val="00564869"/>
    <w:rsid w:val="005677C7"/>
    <w:rsid w:val="00571455"/>
    <w:rsid w:val="00581FA0"/>
    <w:rsid w:val="005839C9"/>
    <w:rsid w:val="00584956"/>
    <w:rsid w:val="00596DA9"/>
    <w:rsid w:val="005973CE"/>
    <w:rsid w:val="005A2776"/>
    <w:rsid w:val="005B2513"/>
    <w:rsid w:val="005C7674"/>
    <w:rsid w:val="005D119B"/>
    <w:rsid w:val="005E2B8E"/>
    <w:rsid w:val="005E33EC"/>
    <w:rsid w:val="005F40CC"/>
    <w:rsid w:val="00611928"/>
    <w:rsid w:val="00612370"/>
    <w:rsid w:val="00622498"/>
    <w:rsid w:val="00625CD5"/>
    <w:rsid w:val="00631AE5"/>
    <w:rsid w:val="006419B1"/>
    <w:rsid w:val="00643214"/>
    <w:rsid w:val="00646D87"/>
    <w:rsid w:val="00653A35"/>
    <w:rsid w:val="00660A7C"/>
    <w:rsid w:val="00660B55"/>
    <w:rsid w:val="00667143"/>
    <w:rsid w:val="00667B5B"/>
    <w:rsid w:val="006715EB"/>
    <w:rsid w:val="00672254"/>
    <w:rsid w:val="006901FE"/>
    <w:rsid w:val="00697EC8"/>
    <w:rsid w:val="006A2C4F"/>
    <w:rsid w:val="006B420D"/>
    <w:rsid w:val="006B6B46"/>
    <w:rsid w:val="006E0CAA"/>
    <w:rsid w:val="006E0FCB"/>
    <w:rsid w:val="006E4EBF"/>
    <w:rsid w:val="006E7D69"/>
    <w:rsid w:val="006F5EE6"/>
    <w:rsid w:val="006F7DCF"/>
    <w:rsid w:val="00712D64"/>
    <w:rsid w:val="00723040"/>
    <w:rsid w:val="00726945"/>
    <w:rsid w:val="007325EC"/>
    <w:rsid w:val="00737AAC"/>
    <w:rsid w:val="00743B51"/>
    <w:rsid w:val="00763139"/>
    <w:rsid w:val="00767E9F"/>
    <w:rsid w:val="00784259"/>
    <w:rsid w:val="00785813"/>
    <w:rsid w:val="007B0E9C"/>
    <w:rsid w:val="007B14B6"/>
    <w:rsid w:val="007B22C4"/>
    <w:rsid w:val="007D29C1"/>
    <w:rsid w:val="007D6891"/>
    <w:rsid w:val="007F06FC"/>
    <w:rsid w:val="007F2C46"/>
    <w:rsid w:val="007F4807"/>
    <w:rsid w:val="00801A49"/>
    <w:rsid w:val="00801EBA"/>
    <w:rsid w:val="008020DA"/>
    <w:rsid w:val="0082062A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5401"/>
    <w:rsid w:val="00901177"/>
    <w:rsid w:val="0090270B"/>
    <w:rsid w:val="00917A17"/>
    <w:rsid w:val="0093031F"/>
    <w:rsid w:val="00936130"/>
    <w:rsid w:val="00941889"/>
    <w:rsid w:val="0094642B"/>
    <w:rsid w:val="009528DF"/>
    <w:rsid w:val="009546C3"/>
    <w:rsid w:val="009558CC"/>
    <w:rsid w:val="009876D3"/>
    <w:rsid w:val="00995877"/>
    <w:rsid w:val="009A7567"/>
    <w:rsid w:val="009B122A"/>
    <w:rsid w:val="009B368B"/>
    <w:rsid w:val="009B7F24"/>
    <w:rsid w:val="009F4165"/>
    <w:rsid w:val="009F43F3"/>
    <w:rsid w:val="00A101D4"/>
    <w:rsid w:val="00A2153C"/>
    <w:rsid w:val="00A37338"/>
    <w:rsid w:val="00A45D20"/>
    <w:rsid w:val="00A50889"/>
    <w:rsid w:val="00A513F1"/>
    <w:rsid w:val="00A519BC"/>
    <w:rsid w:val="00A51F68"/>
    <w:rsid w:val="00A52A33"/>
    <w:rsid w:val="00A67F69"/>
    <w:rsid w:val="00A713A6"/>
    <w:rsid w:val="00A715E2"/>
    <w:rsid w:val="00A71999"/>
    <w:rsid w:val="00A84550"/>
    <w:rsid w:val="00A93040"/>
    <w:rsid w:val="00A9307B"/>
    <w:rsid w:val="00A97EDF"/>
    <w:rsid w:val="00AA1C10"/>
    <w:rsid w:val="00AD7E8A"/>
    <w:rsid w:val="00AE06C1"/>
    <w:rsid w:val="00AE14C5"/>
    <w:rsid w:val="00AE6BF7"/>
    <w:rsid w:val="00AF01B7"/>
    <w:rsid w:val="00AF165F"/>
    <w:rsid w:val="00AF6AED"/>
    <w:rsid w:val="00B00AA7"/>
    <w:rsid w:val="00B0348C"/>
    <w:rsid w:val="00B06F09"/>
    <w:rsid w:val="00B13D73"/>
    <w:rsid w:val="00B1435D"/>
    <w:rsid w:val="00B21347"/>
    <w:rsid w:val="00B27C74"/>
    <w:rsid w:val="00B41879"/>
    <w:rsid w:val="00B426F9"/>
    <w:rsid w:val="00B44D5C"/>
    <w:rsid w:val="00B462ED"/>
    <w:rsid w:val="00B63BEA"/>
    <w:rsid w:val="00B65DE6"/>
    <w:rsid w:val="00B77AAE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5138E"/>
    <w:rsid w:val="00C646BC"/>
    <w:rsid w:val="00C70C8F"/>
    <w:rsid w:val="00C91D73"/>
    <w:rsid w:val="00C97CF8"/>
    <w:rsid w:val="00CB2E9A"/>
    <w:rsid w:val="00CB45FF"/>
    <w:rsid w:val="00CB639E"/>
    <w:rsid w:val="00CF0A00"/>
    <w:rsid w:val="00D037A7"/>
    <w:rsid w:val="00D05EDB"/>
    <w:rsid w:val="00D12FCD"/>
    <w:rsid w:val="00D14AD6"/>
    <w:rsid w:val="00D15B1A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84A21"/>
    <w:rsid w:val="00D96124"/>
    <w:rsid w:val="00D96504"/>
    <w:rsid w:val="00DA0764"/>
    <w:rsid w:val="00DC6187"/>
    <w:rsid w:val="00DE5A9B"/>
    <w:rsid w:val="00E02A8E"/>
    <w:rsid w:val="00E041E2"/>
    <w:rsid w:val="00E04ABD"/>
    <w:rsid w:val="00E05FBB"/>
    <w:rsid w:val="00E141AC"/>
    <w:rsid w:val="00E15EA5"/>
    <w:rsid w:val="00E1603D"/>
    <w:rsid w:val="00E50206"/>
    <w:rsid w:val="00E72719"/>
    <w:rsid w:val="00E820C3"/>
    <w:rsid w:val="00EA31FF"/>
    <w:rsid w:val="00EA5172"/>
    <w:rsid w:val="00EB0B14"/>
    <w:rsid w:val="00EC204D"/>
    <w:rsid w:val="00EC4ED0"/>
    <w:rsid w:val="00ED185A"/>
    <w:rsid w:val="00ED6D1D"/>
    <w:rsid w:val="00ED795E"/>
    <w:rsid w:val="00EE25A6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63B9"/>
    <w:rsid w:val="00F67C9B"/>
    <w:rsid w:val="00F736A6"/>
    <w:rsid w:val="00F7687D"/>
    <w:rsid w:val="00F80888"/>
    <w:rsid w:val="00F821AF"/>
    <w:rsid w:val="00F834D5"/>
    <w:rsid w:val="00F83767"/>
    <w:rsid w:val="00F86E6B"/>
    <w:rsid w:val="00F91294"/>
    <w:rsid w:val="00F93F16"/>
    <w:rsid w:val="00F943F3"/>
    <w:rsid w:val="00FB6D64"/>
    <w:rsid w:val="00FC40A2"/>
    <w:rsid w:val="00FC793F"/>
    <w:rsid w:val="00FD786E"/>
    <w:rsid w:val="00FF358D"/>
    <w:rsid w:val="00FF568D"/>
    <w:rsid w:val="00FF69DB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5B25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EFC43-B302-47E0-AA70-62CBE748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5058</Words>
  <Characters>28836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25</cp:revision>
  <cp:lastPrinted>2021-01-12T03:43:00Z</cp:lastPrinted>
  <dcterms:created xsi:type="dcterms:W3CDTF">2020-12-01T05:33:00Z</dcterms:created>
  <dcterms:modified xsi:type="dcterms:W3CDTF">2021-01-12T03:44:00Z</dcterms:modified>
</cp:coreProperties>
</file>