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153DCC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8B24C4" w:rsidRDefault="00F02A7F" w:rsidP="00F02A7F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02A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 кВ ПС Северная, ПС Волчанец, ПС Новицкое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1E47FA" w:rsidRDefault="001E47FA" w:rsidP="00F02A7F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461728" w:rsidRDefault="00853F3A" w:rsidP="00461728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46172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Партизанского ГО (ВЛ 6кВ - 121,6км, КЛ 6кВ -0,6км., ВЛ-0,4 кВ - 47,8км, замена КТП -30 шт.) (</w:t>
      </w:r>
      <w:r w:rsidR="00461728">
        <w:rPr>
          <w:rFonts w:ascii="Times New Roman" w:hAnsi="Times New Roman" w:cs="Times New Roman"/>
          <w:sz w:val="24"/>
          <w:szCs w:val="24"/>
          <w:lang w:eastAsia="ru-RU"/>
        </w:rPr>
        <w:t>L_25-ПЭС-1636).</w:t>
      </w:r>
    </w:p>
    <w:p w:rsidR="001E47FA" w:rsidRDefault="001E47FA" w:rsidP="00461728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9209" w:type="dxa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65"/>
      </w:tblGrid>
      <w:tr w:rsidR="00073695" w:rsidRPr="00A67F69" w:rsidTr="00F02A7F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65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F02A7F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F02A7F" w:rsidP="009F43F3">
            <w:r w:rsidRPr="00F02A7F">
              <w:t>ВЛ-6 кВ Ф-17 ПС Северная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F02A7F" w:rsidP="0072661F">
            <w:r>
              <w:t>Углекаменск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B85281">
            <w:r w:rsidRPr="00B85281">
              <w:t>PR00</w:t>
            </w:r>
            <w:r w:rsidR="00B85281" w:rsidRPr="00B85281">
              <w:t>29182</w:t>
            </w:r>
          </w:p>
        </w:tc>
        <w:tc>
          <w:tcPr>
            <w:tcW w:w="2665" w:type="dxa"/>
            <w:vAlign w:val="center"/>
          </w:tcPr>
          <w:p w:rsidR="00351FA7" w:rsidRPr="00351FA7" w:rsidRDefault="006901FE" w:rsidP="00F02A7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02A7F">
              <w:t>12</w:t>
            </w:r>
            <w:r w:rsidR="000D7E33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02A7F">
              <w:t>32</w:t>
            </w:r>
            <w:r w:rsidR="008B24C4">
              <w:t xml:space="preserve"> </w:t>
            </w:r>
            <w:r w:rsidRPr="00124DDA">
              <w:t>шт.)</w:t>
            </w:r>
          </w:p>
        </w:tc>
      </w:tr>
      <w:tr w:rsidR="00F02A7F" w:rsidRPr="00A67F69" w:rsidTr="00F02A7F">
        <w:tc>
          <w:tcPr>
            <w:tcW w:w="667" w:type="dxa"/>
            <w:vAlign w:val="center"/>
          </w:tcPr>
          <w:p w:rsidR="00F02A7F" w:rsidRDefault="00F02A7F" w:rsidP="008B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Pr="008B24C4" w:rsidRDefault="00F02A7F" w:rsidP="008B24C4">
            <w:r w:rsidRPr="00F02A7F">
              <w:t>ВЛ-6 кВ Ф-9 ПС Северная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Default="00F02A7F" w:rsidP="008B24C4">
            <w:r>
              <w:t>Углекаменск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Pr="00124DDA" w:rsidRDefault="00F02A7F" w:rsidP="00B85281">
            <w:pPr>
              <w:rPr>
                <w:highlight w:val="yellow"/>
              </w:rPr>
            </w:pPr>
            <w:r w:rsidRPr="00B85281">
              <w:t>PR002</w:t>
            </w:r>
            <w:r w:rsidR="00B85281" w:rsidRPr="00B85281">
              <w:t>9181</w:t>
            </w:r>
          </w:p>
        </w:tc>
        <w:tc>
          <w:tcPr>
            <w:tcW w:w="2665" w:type="dxa"/>
            <w:vAlign w:val="center"/>
          </w:tcPr>
          <w:p w:rsidR="00F02A7F" w:rsidRDefault="00F02A7F" w:rsidP="00F02A7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ВЛ-6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4,6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66 </w:t>
            </w:r>
            <w:r w:rsidRPr="00124DDA">
              <w:t>шт.)</w:t>
            </w:r>
          </w:p>
        </w:tc>
      </w:tr>
      <w:tr w:rsidR="00F02A7F" w:rsidRPr="00A67F69" w:rsidTr="00F02A7F">
        <w:tc>
          <w:tcPr>
            <w:tcW w:w="667" w:type="dxa"/>
            <w:vAlign w:val="center"/>
          </w:tcPr>
          <w:p w:rsidR="00F02A7F" w:rsidRDefault="00F02A7F" w:rsidP="008B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Pr="008B24C4" w:rsidRDefault="00F02A7F" w:rsidP="008B24C4">
            <w:r w:rsidRPr="00F02A7F">
              <w:t>Ф-9</w:t>
            </w:r>
            <w:r w:rsidR="006F20C2">
              <w:t xml:space="preserve"> 6кВ</w:t>
            </w:r>
            <w:r w:rsidRPr="00F02A7F">
              <w:t xml:space="preserve"> ПС Волчанец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Default="00F02A7F" w:rsidP="008B24C4">
            <w:r>
              <w:t>Волчанец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7F" w:rsidRPr="00124DDA" w:rsidRDefault="00F02A7F" w:rsidP="00B85281">
            <w:pPr>
              <w:rPr>
                <w:highlight w:val="yellow"/>
              </w:rPr>
            </w:pPr>
            <w:r w:rsidRPr="00B85281">
              <w:t>PR0026</w:t>
            </w:r>
            <w:r w:rsidR="00B85281" w:rsidRPr="00B85281">
              <w:t>105</w:t>
            </w:r>
          </w:p>
        </w:tc>
        <w:tc>
          <w:tcPr>
            <w:tcW w:w="2665" w:type="dxa"/>
            <w:vAlign w:val="center"/>
          </w:tcPr>
          <w:p w:rsidR="00F02A7F" w:rsidRDefault="00F02A7F" w:rsidP="00F02A7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 w:rsidRPr="00F02A7F">
              <w:t>Установка реклоузеров</w:t>
            </w:r>
            <w:r>
              <w:t xml:space="preserve"> (2шт.)</w:t>
            </w:r>
          </w:p>
        </w:tc>
      </w:tr>
      <w:tr w:rsidR="008B24C4" w:rsidRPr="00A67F69" w:rsidTr="00F02A7F">
        <w:tc>
          <w:tcPr>
            <w:tcW w:w="667" w:type="dxa"/>
            <w:vAlign w:val="center"/>
          </w:tcPr>
          <w:p w:rsidR="008B24C4" w:rsidRPr="00A67F69" w:rsidRDefault="008B24C4" w:rsidP="008B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C4" w:rsidRPr="006F5C30" w:rsidRDefault="00F02A7F" w:rsidP="008B24C4">
            <w:r w:rsidRPr="00F02A7F">
              <w:t xml:space="preserve">Ф-8 </w:t>
            </w:r>
            <w:r w:rsidR="006F20C2">
              <w:t xml:space="preserve">6кВ </w:t>
            </w:r>
            <w:r w:rsidRPr="00F02A7F">
              <w:t>ПС Новицкое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C4" w:rsidRPr="00C85ED8" w:rsidRDefault="00F02A7F" w:rsidP="008B24C4">
            <w:r>
              <w:t>Новицкое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C4" w:rsidRPr="00124DDA" w:rsidRDefault="008B24C4" w:rsidP="00B85281">
            <w:pPr>
              <w:rPr>
                <w:highlight w:val="yellow"/>
              </w:rPr>
            </w:pPr>
            <w:r w:rsidRPr="00B85281">
              <w:t>PR002</w:t>
            </w:r>
            <w:r w:rsidR="00B85281" w:rsidRPr="00B85281">
              <w:t>9267</w:t>
            </w:r>
          </w:p>
        </w:tc>
        <w:tc>
          <w:tcPr>
            <w:tcW w:w="2665" w:type="dxa"/>
            <w:vAlign w:val="center"/>
          </w:tcPr>
          <w:p w:rsidR="008B24C4" w:rsidRPr="00A67F69" w:rsidRDefault="00F02A7F" w:rsidP="008B24C4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 w:rsidRPr="00F02A7F">
              <w:t>Установка реклоузеров</w:t>
            </w:r>
            <w:r>
              <w:t xml:space="preserve"> (2шт.)</w:t>
            </w:r>
          </w:p>
        </w:tc>
      </w:tr>
    </w:tbl>
    <w:p w:rsidR="001E47FA" w:rsidRDefault="001E47FA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 xml:space="preserve"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</w:t>
      </w:r>
      <w:r w:rsidR="00901177" w:rsidRPr="000B030D">
        <w:rPr>
          <w:rFonts w:ascii="Times New Roman" w:hAnsi="Times New Roman"/>
          <w:bCs/>
          <w:sz w:val="26"/>
          <w:szCs w:val="26"/>
        </w:rPr>
        <w:lastRenderedPageBreak/>
        <w:t>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.9. Подрядчик передает документацию в электронном виде в форматах, </w:t>
      </w:r>
      <w:r w:rsidR="00901177" w:rsidRPr="000B030D">
        <w:rPr>
          <w:rFonts w:ascii="Times New Roman" w:hAnsi="Times New Roman"/>
          <w:sz w:val="26"/>
          <w:szCs w:val="26"/>
        </w:rPr>
        <w:lastRenderedPageBreak/>
        <w:t>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E47FA" w:rsidRPr="000B030D" w:rsidRDefault="001E47FA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lastRenderedPageBreak/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71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</w:t>
            </w:r>
          </w:p>
        </w:tc>
      </w:tr>
      <w:tr w:rsidR="00F02A7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A7F" w:rsidRPr="00995877" w:rsidRDefault="00F02A7F" w:rsidP="00F02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Реклоузер 10кВ,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A7F" w:rsidRPr="00995877" w:rsidRDefault="00F02A7F" w:rsidP="0071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8C3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опоры железобетонная СВ </w:t>
            </w:r>
            <w:r w:rsidR="003C6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3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3C6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F02A7F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3A0D3B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D3B" w:rsidRDefault="003A0D3B" w:rsidP="003C6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D3B" w:rsidRDefault="003A0D3B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</w:tbl>
    <w:p w:rsidR="00AA0D27" w:rsidRDefault="00AA0D27" w:rsidP="00AA0D27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EB7D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ГОСТ 15543.1-89 «Изделия электротехнические. Общие требования в части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A0D2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E47FA" w:rsidRDefault="001E47FA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1E47FA" w:rsidRDefault="001E47FA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176BE" w:rsidRPr="00DF54F0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DF54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DF54F0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4D13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53D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DF54F0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DF54F0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Стоимость материально-технических ресурсов (далее – МТР) (не 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DF54F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1E47FA" w:rsidRPr="00995877" w:rsidRDefault="001E47FA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1E47FA" w:rsidRPr="00995877" w:rsidRDefault="001E47FA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153D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1E47FA" w:rsidRPr="00995877" w:rsidRDefault="001E47FA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</w:t>
      </w: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lastRenderedPageBreak/>
        <w:t>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E47FA" w:rsidRDefault="001E47FA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E47FA" w:rsidRDefault="001E47FA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E47FA" w:rsidRDefault="001E47FA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E47FA" w:rsidRPr="00995877" w:rsidRDefault="001E47FA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F54F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DF54F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DF54F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DF54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sectPr w:rsidR="00995877" w:rsidRPr="00726945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83" w:rsidRDefault="00622983" w:rsidP="00436B15">
      <w:pPr>
        <w:spacing w:after="0" w:line="240" w:lineRule="auto"/>
      </w:pPr>
      <w:r>
        <w:separator/>
      </w:r>
    </w:p>
  </w:endnote>
  <w:endnote w:type="continuationSeparator" w:id="0">
    <w:p w:rsidR="00622983" w:rsidRDefault="00622983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83" w:rsidRDefault="00622983" w:rsidP="00436B15">
      <w:pPr>
        <w:spacing w:after="0" w:line="240" w:lineRule="auto"/>
      </w:pPr>
      <w:r>
        <w:separator/>
      </w:r>
    </w:p>
  </w:footnote>
  <w:footnote w:type="continuationSeparator" w:id="0">
    <w:p w:rsidR="00622983" w:rsidRDefault="00622983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D2BB7"/>
    <w:rsid w:val="000D7E33"/>
    <w:rsid w:val="000E6DAE"/>
    <w:rsid w:val="001021FC"/>
    <w:rsid w:val="001046F8"/>
    <w:rsid w:val="00105F94"/>
    <w:rsid w:val="00124DDA"/>
    <w:rsid w:val="00125CAE"/>
    <w:rsid w:val="00153DCC"/>
    <w:rsid w:val="00156EF2"/>
    <w:rsid w:val="00162F53"/>
    <w:rsid w:val="00165339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5DA7"/>
    <w:rsid w:val="001D6587"/>
    <w:rsid w:val="001E47FA"/>
    <w:rsid w:val="001F6C27"/>
    <w:rsid w:val="001F7E8A"/>
    <w:rsid w:val="00211C59"/>
    <w:rsid w:val="00240E17"/>
    <w:rsid w:val="00280D2E"/>
    <w:rsid w:val="00291C5B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D3B"/>
    <w:rsid w:val="003A0E3B"/>
    <w:rsid w:val="003A36EF"/>
    <w:rsid w:val="003B359F"/>
    <w:rsid w:val="003B43F5"/>
    <w:rsid w:val="003C6AA8"/>
    <w:rsid w:val="003D211A"/>
    <w:rsid w:val="003D33FD"/>
    <w:rsid w:val="003E51D8"/>
    <w:rsid w:val="003E687B"/>
    <w:rsid w:val="004031C2"/>
    <w:rsid w:val="00403BC7"/>
    <w:rsid w:val="004077D3"/>
    <w:rsid w:val="00412C65"/>
    <w:rsid w:val="00423B89"/>
    <w:rsid w:val="00436B15"/>
    <w:rsid w:val="00443CE9"/>
    <w:rsid w:val="00443EF4"/>
    <w:rsid w:val="00445882"/>
    <w:rsid w:val="00450C76"/>
    <w:rsid w:val="00461728"/>
    <w:rsid w:val="00464560"/>
    <w:rsid w:val="0046582F"/>
    <w:rsid w:val="004730CB"/>
    <w:rsid w:val="00473A77"/>
    <w:rsid w:val="00481365"/>
    <w:rsid w:val="0048335D"/>
    <w:rsid w:val="00485A80"/>
    <w:rsid w:val="0049737A"/>
    <w:rsid w:val="004A4A9C"/>
    <w:rsid w:val="004C0AD4"/>
    <w:rsid w:val="004D1336"/>
    <w:rsid w:val="004D184E"/>
    <w:rsid w:val="004D1A53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64869"/>
    <w:rsid w:val="005677C7"/>
    <w:rsid w:val="00571455"/>
    <w:rsid w:val="00581FA0"/>
    <w:rsid w:val="005839C9"/>
    <w:rsid w:val="00584956"/>
    <w:rsid w:val="00596DA9"/>
    <w:rsid w:val="005A2776"/>
    <w:rsid w:val="005B2513"/>
    <w:rsid w:val="005D119B"/>
    <w:rsid w:val="005E2B8E"/>
    <w:rsid w:val="005E33EC"/>
    <w:rsid w:val="005F40CC"/>
    <w:rsid w:val="00611928"/>
    <w:rsid w:val="00612370"/>
    <w:rsid w:val="00622983"/>
    <w:rsid w:val="00625CD5"/>
    <w:rsid w:val="00631AE5"/>
    <w:rsid w:val="006419B1"/>
    <w:rsid w:val="00642F25"/>
    <w:rsid w:val="00643214"/>
    <w:rsid w:val="00653A35"/>
    <w:rsid w:val="00660A7C"/>
    <w:rsid w:val="00660B55"/>
    <w:rsid w:val="00667143"/>
    <w:rsid w:val="00667B5B"/>
    <w:rsid w:val="00672254"/>
    <w:rsid w:val="006901FE"/>
    <w:rsid w:val="006A2C4F"/>
    <w:rsid w:val="006B420D"/>
    <w:rsid w:val="006B6B46"/>
    <w:rsid w:val="006E0CAA"/>
    <w:rsid w:val="006E4EBF"/>
    <w:rsid w:val="006E7D69"/>
    <w:rsid w:val="006F20C2"/>
    <w:rsid w:val="006F5EE6"/>
    <w:rsid w:val="006F7DCF"/>
    <w:rsid w:val="00712D0E"/>
    <w:rsid w:val="00712D64"/>
    <w:rsid w:val="00723040"/>
    <w:rsid w:val="0072661F"/>
    <w:rsid w:val="00726945"/>
    <w:rsid w:val="007325EC"/>
    <w:rsid w:val="00737AAC"/>
    <w:rsid w:val="00743B51"/>
    <w:rsid w:val="00763139"/>
    <w:rsid w:val="00767E9F"/>
    <w:rsid w:val="00784259"/>
    <w:rsid w:val="00785813"/>
    <w:rsid w:val="007B0E9C"/>
    <w:rsid w:val="007B22C4"/>
    <w:rsid w:val="007D29C1"/>
    <w:rsid w:val="007D6891"/>
    <w:rsid w:val="007F06FC"/>
    <w:rsid w:val="007F4807"/>
    <w:rsid w:val="00801367"/>
    <w:rsid w:val="00801A49"/>
    <w:rsid w:val="00801EBA"/>
    <w:rsid w:val="008020DA"/>
    <w:rsid w:val="00822F07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24C4"/>
    <w:rsid w:val="008B495E"/>
    <w:rsid w:val="008B6B39"/>
    <w:rsid w:val="008C3EDB"/>
    <w:rsid w:val="008C5F9A"/>
    <w:rsid w:val="008E2C6E"/>
    <w:rsid w:val="008F5401"/>
    <w:rsid w:val="00901177"/>
    <w:rsid w:val="0090270B"/>
    <w:rsid w:val="00917A17"/>
    <w:rsid w:val="0093031F"/>
    <w:rsid w:val="00936130"/>
    <w:rsid w:val="00941889"/>
    <w:rsid w:val="0094642B"/>
    <w:rsid w:val="009528DF"/>
    <w:rsid w:val="009546C3"/>
    <w:rsid w:val="009558CC"/>
    <w:rsid w:val="00995877"/>
    <w:rsid w:val="009A7567"/>
    <w:rsid w:val="009B122A"/>
    <w:rsid w:val="009B368B"/>
    <w:rsid w:val="009B7F24"/>
    <w:rsid w:val="009F4165"/>
    <w:rsid w:val="009F43F3"/>
    <w:rsid w:val="00A07B96"/>
    <w:rsid w:val="00A101D4"/>
    <w:rsid w:val="00A2153C"/>
    <w:rsid w:val="00A37338"/>
    <w:rsid w:val="00A45D20"/>
    <w:rsid w:val="00A50889"/>
    <w:rsid w:val="00A513F1"/>
    <w:rsid w:val="00A51F68"/>
    <w:rsid w:val="00A52A33"/>
    <w:rsid w:val="00A67B5D"/>
    <w:rsid w:val="00A67F69"/>
    <w:rsid w:val="00A713A6"/>
    <w:rsid w:val="00A715E2"/>
    <w:rsid w:val="00A71999"/>
    <w:rsid w:val="00A84550"/>
    <w:rsid w:val="00A93040"/>
    <w:rsid w:val="00A9307B"/>
    <w:rsid w:val="00A97EDF"/>
    <w:rsid w:val="00AA0D27"/>
    <w:rsid w:val="00AA1C10"/>
    <w:rsid w:val="00AD7E8A"/>
    <w:rsid w:val="00AE14C5"/>
    <w:rsid w:val="00AE6BF7"/>
    <w:rsid w:val="00AF01B7"/>
    <w:rsid w:val="00AF6AED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62ED"/>
    <w:rsid w:val="00B65DE6"/>
    <w:rsid w:val="00B77AAE"/>
    <w:rsid w:val="00B77F68"/>
    <w:rsid w:val="00B83F66"/>
    <w:rsid w:val="00B85281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5138E"/>
    <w:rsid w:val="00C646BC"/>
    <w:rsid w:val="00C70C8F"/>
    <w:rsid w:val="00C97CF8"/>
    <w:rsid w:val="00CB2E9A"/>
    <w:rsid w:val="00CB45FF"/>
    <w:rsid w:val="00CB639E"/>
    <w:rsid w:val="00CF0A00"/>
    <w:rsid w:val="00D05EDB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E5A9B"/>
    <w:rsid w:val="00DF54F0"/>
    <w:rsid w:val="00E02A8E"/>
    <w:rsid w:val="00E041E2"/>
    <w:rsid w:val="00E04ABD"/>
    <w:rsid w:val="00E05FBB"/>
    <w:rsid w:val="00E141AC"/>
    <w:rsid w:val="00E15EA5"/>
    <w:rsid w:val="00E1603D"/>
    <w:rsid w:val="00E50206"/>
    <w:rsid w:val="00E72719"/>
    <w:rsid w:val="00E820C3"/>
    <w:rsid w:val="00EA31FF"/>
    <w:rsid w:val="00EA5172"/>
    <w:rsid w:val="00EB0B14"/>
    <w:rsid w:val="00EB7D6C"/>
    <w:rsid w:val="00EC204D"/>
    <w:rsid w:val="00EC4ED0"/>
    <w:rsid w:val="00ED185A"/>
    <w:rsid w:val="00ED6D1D"/>
    <w:rsid w:val="00ED795E"/>
    <w:rsid w:val="00EF13A7"/>
    <w:rsid w:val="00F02A7F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9DB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13DA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C411D-32BD-482F-A23F-A64054DC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4807</Words>
  <Characters>27402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22</cp:revision>
  <cp:lastPrinted>2021-01-12T03:34:00Z</cp:lastPrinted>
  <dcterms:created xsi:type="dcterms:W3CDTF">2020-12-01T05:33:00Z</dcterms:created>
  <dcterms:modified xsi:type="dcterms:W3CDTF">2021-01-12T03:35:00Z</dcterms:modified>
</cp:coreProperties>
</file>