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Pr>
          <w:sz w:val="24"/>
          <w:szCs w:val="24"/>
        </w:rPr>
        <w:t>В.А.Юхимук</w:t>
      </w:r>
    </w:p>
    <w:p w:rsidR="00FF25CB" w:rsidRPr="00C677BC" w:rsidRDefault="00FF25CB" w:rsidP="00D42DC7">
      <w:pPr>
        <w:spacing w:before="0"/>
        <w:ind w:left="5811" w:hanging="11"/>
        <w:rPr>
          <w:sz w:val="24"/>
          <w:szCs w:val="24"/>
        </w:rPr>
      </w:pPr>
      <w:r>
        <w:rPr>
          <w:sz w:val="24"/>
          <w:szCs w:val="24"/>
        </w:rPr>
        <w:t xml:space="preserve"> </w:t>
      </w:r>
      <w:r w:rsidR="00D42DC7">
        <w:rPr>
          <w:sz w:val="24"/>
          <w:szCs w:val="24"/>
        </w:rPr>
        <w:t xml:space="preserve"> «27</w:t>
      </w:r>
      <w:r w:rsidR="00D42DC7" w:rsidRPr="00C677BC">
        <w:rPr>
          <w:sz w:val="24"/>
          <w:szCs w:val="24"/>
        </w:rPr>
        <w:t xml:space="preserve">» </w:t>
      </w:r>
      <w:r w:rsidR="00D42DC7">
        <w:rPr>
          <w:sz w:val="24"/>
          <w:szCs w:val="24"/>
        </w:rPr>
        <w:t>января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9648DF" w:rsidP="00FF25CB">
      <w:pPr>
        <w:spacing w:before="0"/>
        <w:jc w:val="center"/>
        <w:rPr>
          <w:b/>
          <w:sz w:val="36"/>
          <w:szCs w:val="36"/>
        </w:rPr>
      </w:pPr>
      <w:r w:rsidRPr="009648DF">
        <w:rPr>
          <w:b/>
        </w:rPr>
        <w:t>№ 291/УТПИР</w:t>
      </w:r>
      <w:r w:rsidR="00FF25CB" w:rsidRPr="009648DF">
        <w:rPr>
          <w:b/>
        </w:rPr>
        <w:t xml:space="preserve">                                                                     </w:t>
      </w:r>
      <w:r w:rsidRPr="009648DF">
        <w:rPr>
          <w:b/>
        </w:rPr>
        <w:t xml:space="preserve">                            </w:t>
      </w:r>
      <w:r w:rsidR="00FF25CB" w:rsidRPr="009648DF">
        <w:rPr>
          <w:b/>
        </w:rPr>
        <w:t xml:space="preserve">   </w:t>
      </w:r>
      <w:r>
        <w:rPr>
          <w:b/>
        </w:rPr>
        <w:t>26 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D42DC7" w:rsidRPr="00D42DC7">
              <w:rPr>
                <w:b/>
              </w:rPr>
              <w:t>92001-ТПИР ОБСЛ-2021-ДРСК</w:t>
            </w:r>
            <w:r w:rsidRPr="00D7177A">
              <w:t xml:space="preserve">: право  заключения договора на выполнение работ </w:t>
            </w:r>
            <w:r w:rsidR="00D42DC7" w:rsidRPr="00D42DC7">
              <w:rPr>
                <w:b/>
              </w:rPr>
              <w:lastRenderedPageBreak/>
              <w:t>Реконструкция ВЛ 0,4 кВ г. п. Николаевка Смидовичского района, с. Дежнево, Ленинского района филиал ЭС ЕАО</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D42DC7">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D42DC7" w:rsidRPr="00D42DC7">
              <w:rPr>
                <w:rFonts w:ascii="Times New Roman" w:eastAsia="Times New Roman" w:hAnsi="Times New Roman"/>
                <w:b/>
                <w:noProof w:val="0"/>
                <w:snapToGrid w:val="0"/>
                <w:sz w:val="26"/>
                <w:lang w:eastAsia="ru-RU"/>
              </w:rPr>
              <w:t>4</w:t>
            </w:r>
            <w:r w:rsidR="00D42DC7">
              <w:rPr>
                <w:rFonts w:ascii="Times New Roman" w:eastAsia="Times New Roman" w:hAnsi="Times New Roman"/>
                <w:b/>
                <w:noProof w:val="0"/>
                <w:snapToGrid w:val="0"/>
                <w:sz w:val="26"/>
                <w:lang w:eastAsia="ru-RU"/>
              </w:rPr>
              <w:t xml:space="preserve"> </w:t>
            </w:r>
            <w:r w:rsidR="00D42DC7" w:rsidRPr="00D42DC7">
              <w:rPr>
                <w:rFonts w:ascii="Times New Roman" w:eastAsia="Times New Roman" w:hAnsi="Times New Roman"/>
                <w:b/>
                <w:noProof w:val="0"/>
                <w:snapToGrid w:val="0"/>
                <w:sz w:val="26"/>
                <w:lang w:eastAsia="ru-RU"/>
              </w:rPr>
              <w:t>584</w:t>
            </w:r>
            <w:r w:rsidR="00D42DC7">
              <w:rPr>
                <w:rFonts w:ascii="Times New Roman" w:eastAsia="Times New Roman" w:hAnsi="Times New Roman"/>
                <w:b/>
                <w:noProof w:val="0"/>
                <w:snapToGrid w:val="0"/>
                <w:sz w:val="26"/>
                <w:lang w:eastAsia="ru-RU"/>
              </w:rPr>
              <w:t xml:space="preserve"> </w:t>
            </w:r>
            <w:r w:rsidR="00D42DC7" w:rsidRPr="00D42DC7">
              <w:rPr>
                <w:rFonts w:ascii="Times New Roman" w:eastAsia="Times New Roman" w:hAnsi="Times New Roman"/>
                <w:b/>
                <w:noProof w:val="0"/>
                <w:snapToGrid w:val="0"/>
                <w:sz w:val="26"/>
                <w:lang w:eastAsia="ru-RU"/>
              </w:rPr>
              <w:t>719</w:t>
            </w:r>
            <w:r w:rsidR="00D42DC7">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8E0A90" w:rsidP="00D42DC7">
            <w:pPr>
              <w:widowControl w:val="0"/>
              <w:spacing w:after="120"/>
              <w:rPr>
                <w:b/>
              </w:rPr>
            </w:pPr>
            <w:r>
              <w:rPr>
                <w:b/>
              </w:rPr>
              <w:t>«29</w:t>
            </w:r>
            <w:r w:rsidR="00D42DC7">
              <w:rPr>
                <w:b/>
              </w:rPr>
              <w:t>» января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4652C2" w:rsidP="00FF25CB">
            <w:pPr>
              <w:pStyle w:val="Tableheader"/>
              <w:widowControl w:val="0"/>
              <w:rPr>
                <w:rFonts w:eastAsia="Lucida Sans Unicode"/>
                <w:b w:val="0"/>
                <w:i/>
                <w:kern w:val="1"/>
                <w:sz w:val="26"/>
                <w:szCs w:val="26"/>
                <w:shd w:val="clear" w:color="auto" w:fill="FFFF99"/>
              </w:rPr>
            </w:pPr>
            <w:r>
              <w:rPr>
                <w:sz w:val="26"/>
                <w:szCs w:val="26"/>
              </w:rPr>
              <w:lastRenderedPageBreak/>
              <w:t>«08</w:t>
            </w:r>
            <w:r w:rsidR="00FF25CB" w:rsidRPr="00D7177A">
              <w:rPr>
                <w:sz w:val="26"/>
                <w:szCs w:val="26"/>
              </w:rPr>
              <w:t xml:space="preserve">» </w:t>
            </w:r>
            <w:r w:rsidR="00D42DC7">
              <w:rPr>
                <w:sz w:val="26"/>
                <w:szCs w:val="26"/>
              </w:rPr>
              <w:t>феврал</w:t>
            </w:r>
            <w:r w:rsidR="00FF25CB">
              <w:rPr>
                <w:sz w:val="26"/>
                <w:szCs w:val="26"/>
              </w:rPr>
              <w:t>я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FF25CB" w:rsidRPr="00C677BC" w:rsidRDefault="00FF25CB" w:rsidP="00FF25CB">
      <w:pPr>
        <w:spacing w:before="0" w:line="360" w:lineRule="auto"/>
        <w:ind w:left="5811" w:hanging="11"/>
        <w:rPr>
          <w:sz w:val="24"/>
          <w:szCs w:val="24"/>
        </w:rPr>
      </w:pPr>
      <w:r>
        <w:rPr>
          <w:sz w:val="24"/>
          <w:szCs w:val="24"/>
        </w:rPr>
        <w:t>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FF25CB" w:rsidRPr="00C677BC" w:rsidRDefault="00D42DC7" w:rsidP="00FF25CB">
      <w:pPr>
        <w:spacing w:before="0" w:line="360" w:lineRule="auto"/>
        <w:ind w:left="5811" w:hanging="11"/>
        <w:rPr>
          <w:sz w:val="24"/>
          <w:szCs w:val="24"/>
        </w:rPr>
      </w:pPr>
      <w:r>
        <w:rPr>
          <w:sz w:val="24"/>
          <w:szCs w:val="24"/>
        </w:rPr>
        <w:t xml:space="preserve"> «27</w:t>
      </w:r>
      <w:r w:rsidR="00FF25CB" w:rsidRPr="00C677BC">
        <w:rPr>
          <w:sz w:val="24"/>
          <w:szCs w:val="24"/>
        </w:rPr>
        <w:t xml:space="preserve">» </w:t>
      </w:r>
      <w:r>
        <w:rPr>
          <w:sz w:val="24"/>
          <w:szCs w:val="24"/>
        </w:rPr>
        <w:t>января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D42DC7" w:rsidRPr="00D42DC7">
        <w:rPr>
          <w:b/>
          <w:sz w:val="40"/>
          <w:szCs w:val="40"/>
        </w:rPr>
        <w:t>Реконструкция ВЛ 0,4 кВ г. п. Николаевка Смидовичского района, с. Дежнево, Ленинского района филиал ЭС ЕАО</w:t>
      </w:r>
    </w:p>
    <w:p w:rsidR="00FF25CB" w:rsidRPr="00C55B01" w:rsidRDefault="00FF25CB" w:rsidP="00FF25CB">
      <w:pPr>
        <w:jc w:val="center"/>
      </w:pPr>
      <w:r w:rsidRPr="00C55B01">
        <w:t xml:space="preserve">(ЛОТ № </w:t>
      </w:r>
      <w:r w:rsidR="00D42DC7" w:rsidRPr="00D42DC7">
        <w:t>92001-ТПИР ОБСЛ-2021-ДРСК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8E0A90">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8E0A90">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8E0A90">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8E0A90">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D42DC7" w:rsidRPr="00D42DC7">
              <w:rPr>
                <w:b/>
              </w:rPr>
              <w:t>92001-ТПИР ОБСЛ-2021-ДРСК</w:t>
            </w:r>
            <w:r w:rsidRPr="007F69ED">
              <w:t xml:space="preserve">: право  заключения договора на выполнение работ </w:t>
            </w:r>
            <w:r w:rsidR="00D42DC7" w:rsidRPr="00D42DC7">
              <w:rPr>
                <w:b/>
              </w:rPr>
              <w:t>Реконструкция ВЛ 0,4 кВ г. п. Николаевка Смидовичского района, с. Дежнево, Ленинского района филиал ЭС ЕАО</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0A90" w:rsidP="00D42DC7">
            <w:pPr>
              <w:rPr>
                <w:rStyle w:val="af8"/>
                <w:b w:val="0"/>
                <w:snapToGrid/>
              </w:rPr>
            </w:pPr>
            <w:r>
              <w:rPr>
                <w:b/>
              </w:rPr>
              <w:t>29</w:t>
            </w:r>
            <w:r w:rsidR="00D42DC7">
              <w:rPr>
                <w:b/>
              </w:rPr>
              <w:t>.01.2021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D42DC7">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42DC7" w:rsidRPr="00D42DC7">
              <w:rPr>
                <w:rFonts w:ascii="Times New Roman" w:eastAsia="Times New Roman" w:hAnsi="Times New Roman"/>
                <w:b/>
                <w:noProof w:val="0"/>
                <w:snapToGrid w:val="0"/>
                <w:sz w:val="26"/>
                <w:lang w:eastAsia="ru-RU"/>
              </w:rPr>
              <w:t>4 584 719,00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4652C2" w:rsidP="00D42DC7">
            <w:pPr>
              <w:pStyle w:val="Tabletext"/>
              <w:spacing w:after="120"/>
              <w:rPr>
                <w:b/>
                <w:i/>
                <w:snapToGrid w:val="0"/>
                <w:sz w:val="26"/>
                <w:szCs w:val="26"/>
                <w:shd w:val="clear" w:color="auto" w:fill="FFFF99"/>
              </w:rPr>
            </w:pPr>
            <w:r>
              <w:rPr>
                <w:b/>
                <w:sz w:val="26"/>
                <w:szCs w:val="26"/>
              </w:rPr>
              <w:t>«08</w:t>
            </w:r>
            <w:bookmarkStart w:id="57" w:name="_GoBack"/>
            <w:bookmarkEnd w:id="57"/>
            <w:r w:rsidR="00D42DC7" w:rsidRPr="002D4369">
              <w:rPr>
                <w:b/>
                <w:sz w:val="26"/>
                <w:szCs w:val="26"/>
              </w:rPr>
              <w:t xml:space="preserve">» </w:t>
            </w:r>
            <w:r w:rsidR="00D42DC7">
              <w:rPr>
                <w:b/>
                <w:sz w:val="26"/>
                <w:szCs w:val="26"/>
              </w:rPr>
              <w:t>февраля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8E0A90" w:rsidP="00D42DC7">
            <w:pPr>
              <w:spacing w:after="120"/>
              <w:rPr>
                <w:b/>
              </w:rPr>
            </w:pPr>
            <w:r>
              <w:rPr>
                <w:b/>
              </w:rPr>
              <w:t>«29</w:t>
            </w:r>
            <w:r w:rsidR="00D42DC7" w:rsidRPr="007F69ED">
              <w:rPr>
                <w:b/>
              </w:rPr>
              <w:t xml:space="preserve">» </w:t>
            </w:r>
            <w:r w:rsidR="00D42DC7">
              <w:rPr>
                <w:b/>
              </w:rPr>
              <w:t>января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8E0A90" w:rsidP="00D42DC7">
            <w:pPr>
              <w:pStyle w:val="Tableheader"/>
              <w:widowControl w:val="0"/>
              <w:rPr>
                <w:rStyle w:val="af8"/>
                <w:b/>
                <w:i w:val="0"/>
                <w:sz w:val="26"/>
                <w:szCs w:val="26"/>
                <w:shd w:val="clear" w:color="auto" w:fill="auto"/>
              </w:rPr>
            </w:pPr>
            <w:r>
              <w:rPr>
                <w:sz w:val="26"/>
                <w:szCs w:val="26"/>
              </w:rPr>
              <w:t>«08</w:t>
            </w:r>
            <w:r w:rsidR="00D42DC7" w:rsidRPr="002D4369">
              <w:rPr>
                <w:sz w:val="26"/>
                <w:szCs w:val="26"/>
              </w:rPr>
              <w:t xml:space="preserve">» </w:t>
            </w:r>
            <w:r w:rsidR="00D42DC7">
              <w:rPr>
                <w:sz w:val="26"/>
                <w:szCs w:val="26"/>
              </w:rPr>
              <w:t>февраля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7F69ED">
              <w:rPr>
                <w:snapToGrid w:val="0"/>
                <w:sz w:val="26"/>
                <w:szCs w:val="26"/>
              </w:rPr>
              <w:t xml:space="preserve">по местному времени </w:t>
            </w:r>
            <w:r w:rsidR="00D42DC7" w:rsidRPr="007F69ED">
              <w:rPr>
                <w:sz w:val="26"/>
                <w:szCs w:val="26"/>
              </w:rPr>
              <w:t>О</w:t>
            </w:r>
            <w:r w:rsidR="00D42DC7" w:rsidRPr="007F69ED">
              <w:rPr>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8E0A90" w:rsidP="00105E64">
            <w:pPr>
              <w:spacing w:after="120"/>
              <w:rPr>
                <w:b/>
              </w:rPr>
            </w:pPr>
            <w:r>
              <w:rPr>
                <w:b/>
              </w:rPr>
              <w:t>«22</w:t>
            </w:r>
            <w:r w:rsidR="00105E64" w:rsidRPr="007F69ED">
              <w:rPr>
                <w:b/>
              </w:rPr>
              <w:t xml:space="preserve">» </w:t>
            </w:r>
            <w:r w:rsidR="00105E64">
              <w:rPr>
                <w:b/>
              </w:rPr>
              <w:t>февраля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8E0A90" w:rsidP="00105E64">
            <w:pPr>
              <w:spacing w:after="120"/>
              <w:rPr>
                <w:b/>
              </w:rPr>
            </w:pPr>
            <w:r>
              <w:rPr>
                <w:b/>
              </w:rPr>
              <w:t>«26</w:t>
            </w:r>
            <w:r w:rsidR="00105E64" w:rsidRPr="007F69ED">
              <w:rPr>
                <w:b/>
              </w:rPr>
              <w:t xml:space="preserve">» </w:t>
            </w:r>
            <w:r w:rsidR="00105E64">
              <w:rPr>
                <w:b/>
              </w:rPr>
              <w:t>февраля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1" w:name="_Ref3068243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5D" w:rsidRDefault="00DE475D">
      <w:r>
        <w:separator/>
      </w:r>
    </w:p>
  </w:endnote>
  <w:endnote w:type="continuationSeparator" w:id="0">
    <w:p w:rsidR="00DE475D" w:rsidRDefault="00DE4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52C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52C2">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52C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52C2">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52C2">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52C2">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52C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52C2">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5D" w:rsidRDefault="00DE475D">
      <w:r>
        <w:separator/>
      </w:r>
    </w:p>
  </w:footnote>
  <w:footnote w:type="continuationSeparator" w:id="0">
    <w:p w:rsidR="00DE475D" w:rsidRDefault="00DE475D">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F52C5"/>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8FF64-56CB-4750-B208-84B8B760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111</Pages>
  <Words>30240</Words>
  <Characters>172374</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202210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2017-12-27T16:39:00Z</cp:lastPrinted>
  <dcterms:created xsi:type="dcterms:W3CDTF">2021-01-22T06:16:00Z</dcterms:created>
  <dcterms:modified xsi:type="dcterms:W3CDTF">2021-01-29T00:19:00Z</dcterms:modified>
</cp:coreProperties>
</file>