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5CF5A076"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7777777" w:rsidR="004970F4" w:rsidRDefault="004970F4" w:rsidP="004970F4">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7777777" w:rsidR="004970F4" w:rsidRPr="00C677BC" w:rsidRDefault="004970F4" w:rsidP="004970F4">
      <w:pPr>
        <w:spacing w:before="0"/>
        <w:ind w:left="5811" w:hanging="11"/>
        <w:rPr>
          <w:sz w:val="24"/>
          <w:szCs w:val="24"/>
        </w:rPr>
      </w:pPr>
      <w:r w:rsidRPr="00C677BC">
        <w:rPr>
          <w:sz w:val="24"/>
          <w:szCs w:val="24"/>
        </w:rPr>
        <w:t xml:space="preserve">__________________ </w:t>
      </w:r>
      <w:r>
        <w:rPr>
          <w:sz w:val="24"/>
          <w:szCs w:val="24"/>
        </w:rPr>
        <w:t>В.А. Юхимук</w:t>
      </w:r>
    </w:p>
    <w:p w14:paraId="0FACC4EC" w14:textId="0555BB21"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Pr>
          <w:szCs w:val="28"/>
        </w:rPr>
        <w:t>января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374F2F8B" w:rsidR="004970F4" w:rsidRPr="004970F4" w:rsidRDefault="004970F4" w:rsidP="004970F4">
      <w:pPr>
        <w:spacing w:before="0"/>
        <w:jc w:val="center"/>
        <w:outlineLvl w:val="4"/>
        <w:rPr>
          <w:sz w:val="24"/>
          <w:szCs w:val="24"/>
        </w:rPr>
      </w:pPr>
      <w:r w:rsidRPr="004970F4">
        <w:rPr>
          <w:sz w:val="24"/>
          <w:szCs w:val="24"/>
        </w:rPr>
        <w:t>(137601-КС ПИР СМР-2021-ДРСК)</w:t>
      </w:r>
    </w:p>
    <w:p w14:paraId="73DFADED" w14:textId="2E075236" w:rsidR="004970F4" w:rsidRDefault="004970F4" w:rsidP="004970F4">
      <w:pPr>
        <w:spacing w:before="0"/>
        <w:jc w:val="center"/>
        <w:outlineLvl w:val="4"/>
        <w:rPr>
          <w:b/>
          <w:sz w:val="24"/>
          <w:szCs w:val="24"/>
        </w:rPr>
      </w:pPr>
      <w:r w:rsidRPr="0037752F">
        <w:rPr>
          <w:b/>
          <w:sz w:val="24"/>
          <w:szCs w:val="24"/>
        </w:rPr>
        <w:t>№</w:t>
      </w:r>
      <w:r>
        <w:rPr>
          <w:b/>
          <w:sz w:val="24"/>
          <w:szCs w:val="24"/>
        </w:rPr>
        <w:t xml:space="preserve"> </w:t>
      </w:r>
      <w:r w:rsidR="00EC63E5">
        <w:rPr>
          <w:b/>
          <w:sz w:val="24"/>
          <w:szCs w:val="24"/>
        </w:rPr>
        <w:t>282</w:t>
      </w:r>
      <w:r w:rsidRPr="00E65C41">
        <w:rPr>
          <w:b/>
          <w:sz w:val="24"/>
          <w:szCs w:val="24"/>
        </w:rPr>
        <w:t>/</w:t>
      </w:r>
      <w:r>
        <w:rPr>
          <w:b/>
          <w:sz w:val="24"/>
          <w:szCs w:val="24"/>
        </w:rPr>
        <w:t>МКС</w:t>
      </w:r>
      <w:r w:rsidRPr="00E65C41">
        <w:rPr>
          <w:b/>
          <w:sz w:val="24"/>
          <w:szCs w:val="24"/>
        </w:rPr>
        <w:t xml:space="preserve">                                                                                            </w:t>
      </w:r>
      <w:r>
        <w:rPr>
          <w:b/>
          <w:sz w:val="24"/>
          <w:szCs w:val="24"/>
        </w:rPr>
        <w:t xml:space="preserve">           «</w:t>
      </w:r>
      <w:r w:rsidR="00455BC4">
        <w:rPr>
          <w:b/>
          <w:sz w:val="24"/>
          <w:szCs w:val="24"/>
        </w:rPr>
        <w:t>25</w:t>
      </w:r>
      <w:r>
        <w:rPr>
          <w:b/>
          <w:sz w:val="24"/>
          <w:szCs w:val="24"/>
        </w:rPr>
        <w:t>» января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7F19AB5C" w:rsidR="005A78D9" w:rsidRPr="004D64D2" w:rsidRDefault="000428BC" w:rsidP="004970F4">
            <w:pPr>
              <w:pStyle w:val="Tableheader"/>
              <w:widowControl w:val="0"/>
              <w:rPr>
                <w:b w:val="0"/>
                <w:i/>
                <w:sz w:val="24"/>
                <w:shd w:val="clear" w:color="auto" w:fill="FFFF99"/>
              </w:rPr>
            </w:pPr>
            <w:bookmarkStart w:id="3" w:name="_GoBack"/>
            <w:r w:rsidRPr="004D64D2">
              <w:rPr>
                <w:b w:val="0"/>
                <w:sz w:val="24"/>
              </w:rPr>
              <w:t>Высоковольтный выключатель  35 кВ: лот №137601-КС ПИР СМР-2021-ДРСК</w:t>
            </w:r>
            <w:bookmarkEnd w:id="3"/>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4A3E4107"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0428BC" w:rsidRPr="004D64D2">
              <w:rPr>
                <w:rFonts w:ascii="Times New Roman" w:eastAsia="Times New Roman" w:hAnsi="Times New Roman"/>
                <w:noProof w:val="0"/>
                <w:snapToGrid w:val="0"/>
                <w:szCs w:val="24"/>
                <w:lang w:eastAsia="ru-RU"/>
              </w:rPr>
              <w:t xml:space="preserve">3 251 213,92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6C348EDC" w:rsidR="006C03D6" w:rsidRPr="004D64D2" w:rsidRDefault="006C03D6" w:rsidP="000E44F2">
            <w:pPr>
              <w:widowControl w:val="0"/>
              <w:spacing w:after="120"/>
              <w:rPr>
                <w:sz w:val="24"/>
                <w:szCs w:val="24"/>
              </w:rPr>
            </w:pPr>
            <w:r w:rsidRPr="004D64D2">
              <w:rPr>
                <w:sz w:val="24"/>
                <w:szCs w:val="24"/>
              </w:rPr>
              <w:t>«</w:t>
            </w:r>
            <w:r w:rsidR="008538F9" w:rsidRPr="004D64D2">
              <w:rPr>
                <w:sz w:val="24"/>
                <w:szCs w:val="24"/>
              </w:rPr>
              <w:t>25</w:t>
            </w:r>
            <w:r w:rsidRPr="004D64D2">
              <w:rPr>
                <w:sz w:val="24"/>
                <w:szCs w:val="24"/>
              </w:rPr>
              <w:t xml:space="preserve">» </w:t>
            </w:r>
            <w:r w:rsidR="008538F9" w:rsidRPr="004D64D2">
              <w:rPr>
                <w:sz w:val="24"/>
                <w:szCs w:val="24"/>
              </w:rPr>
              <w:t>января 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57514D52" w:rsidR="006C03D6" w:rsidRPr="004D64D2" w:rsidRDefault="006C03D6" w:rsidP="008538F9">
            <w:pPr>
              <w:pStyle w:val="Tableheader"/>
              <w:widowControl w:val="0"/>
              <w:spacing w:after="120"/>
              <w:rPr>
                <w:b w:val="0"/>
                <w:snapToGrid w:val="0"/>
                <w:sz w:val="24"/>
              </w:rPr>
            </w:pPr>
            <w:r w:rsidRPr="004D64D2">
              <w:rPr>
                <w:b w:val="0"/>
                <w:sz w:val="24"/>
              </w:rPr>
              <w:t>«</w:t>
            </w:r>
            <w:r w:rsidR="008538F9" w:rsidRPr="004D64D2">
              <w:rPr>
                <w:b w:val="0"/>
                <w:sz w:val="24"/>
              </w:rPr>
              <w:t>05</w:t>
            </w:r>
            <w:r w:rsidRPr="004D64D2">
              <w:rPr>
                <w:b w:val="0"/>
                <w:sz w:val="24"/>
              </w:rPr>
              <w:t xml:space="preserve">» </w:t>
            </w:r>
            <w:r w:rsidR="008538F9" w:rsidRPr="004D64D2">
              <w:rPr>
                <w:b w:val="0"/>
                <w:sz w:val="24"/>
              </w:rPr>
              <w:t>февраля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77777777" w:rsidR="008538F9" w:rsidRDefault="008538F9" w:rsidP="008538F9">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77777777" w:rsidR="008538F9" w:rsidRPr="00C677BC" w:rsidRDefault="008538F9" w:rsidP="008538F9">
      <w:pPr>
        <w:spacing w:before="0"/>
        <w:ind w:left="5811" w:hanging="11"/>
        <w:rPr>
          <w:sz w:val="24"/>
          <w:szCs w:val="24"/>
        </w:rPr>
      </w:pPr>
      <w:r w:rsidRPr="00C677BC">
        <w:rPr>
          <w:sz w:val="24"/>
          <w:szCs w:val="24"/>
        </w:rPr>
        <w:t xml:space="preserve">__________________ </w:t>
      </w:r>
      <w:r>
        <w:rPr>
          <w:sz w:val="24"/>
          <w:szCs w:val="24"/>
        </w:rPr>
        <w:t>В.А. Юхимук</w:t>
      </w:r>
    </w:p>
    <w:p w14:paraId="71B75623" w14:textId="2EF5CDE9"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января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353EA4D" w14:textId="65504E6F" w:rsidR="008538F9" w:rsidRDefault="00092482" w:rsidP="008538F9">
      <w:pPr>
        <w:spacing w:before="0"/>
        <w:jc w:val="center"/>
        <w:outlineLvl w:val="4"/>
        <w:rPr>
          <w:sz w:val="30"/>
          <w:szCs w:val="30"/>
        </w:rPr>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8538F9" w:rsidRPr="00A7435D">
        <w:rPr>
          <w:sz w:val="30"/>
          <w:szCs w:val="30"/>
        </w:rPr>
        <w:t>Высоковольтный выключатель  35 кВ</w:t>
      </w:r>
    </w:p>
    <w:p w14:paraId="0807D317" w14:textId="046A2BDC" w:rsidR="001D54B3" w:rsidRPr="008538F9" w:rsidRDefault="00D51C4F" w:rsidP="008538F9">
      <w:pPr>
        <w:jc w:val="center"/>
        <w:rPr>
          <w:sz w:val="24"/>
          <w:szCs w:val="24"/>
        </w:rPr>
      </w:pPr>
      <w:r w:rsidRPr="008538F9">
        <w:rPr>
          <w:sz w:val="24"/>
          <w:szCs w:val="24"/>
        </w:rPr>
        <w:t xml:space="preserve">(ЛОТ № </w:t>
      </w:r>
      <w:r w:rsidR="008538F9" w:rsidRPr="008538F9">
        <w:rPr>
          <w:sz w:val="24"/>
          <w:szCs w:val="24"/>
        </w:rPr>
        <w:t>137601-КС ПИР СМР-2021-ДРСК )</w:t>
      </w:r>
    </w:p>
    <w:p w14:paraId="2F39DCB8" w14:textId="77777777" w:rsidR="00D51C4F" w:rsidRPr="008538F9" w:rsidRDefault="00D51C4F" w:rsidP="00D51C4F">
      <w:pPr>
        <w:jc w:val="center"/>
        <w:rPr>
          <w:sz w:val="24"/>
          <w:szCs w:val="24"/>
        </w:rP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881848">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881848">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881848">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881848">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881848">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881848">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881848">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881848">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881848">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881848">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881848">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881848">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881848">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881848">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881848">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881848">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881848">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881848">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881848">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881848">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881848">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881848">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881848">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881848">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881848">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881848">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881848">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881848">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881848">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881848">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881848">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881848">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881848">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881848">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881848">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881848">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881848">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881848">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881848">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881848">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881848">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881848">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881848">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881848">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881848">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881848">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881848">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881848">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881848">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881848">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881848">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881848">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881848">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881848">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881848">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881848">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881848">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881848">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88BCB80" w:rsidR="004010E6" w:rsidRPr="00D53E6B" w:rsidRDefault="004010E6" w:rsidP="00CE67ED">
            <w:pPr>
              <w:spacing w:before="0"/>
              <w:outlineLvl w:val="4"/>
              <w:rPr>
                <w:rStyle w:val="afa"/>
                <w:b w:val="0"/>
                <w:i w:val="0"/>
                <w:sz w:val="24"/>
                <w:szCs w:val="24"/>
                <w:shd w:val="clear" w:color="auto" w:fill="auto"/>
              </w:rPr>
            </w:pPr>
            <w:r w:rsidRPr="00D53E6B">
              <w:rPr>
                <w:sz w:val="24"/>
                <w:szCs w:val="24"/>
              </w:rPr>
              <w:t xml:space="preserve">Лот № </w:t>
            </w:r>
            <w:r w:rsidR="00CE67ED" w:rsidRPr="00D53E6B">
              <w:rPr>
                <w:sz w:val="24"/>
                <w:szCs w:val="24"/>
              </w:rPr>
              <w:t>137601-КС ПИР СМР-2021-ДРСК: Высоковольтный выключатель  35 кВ</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7012B2" w:rsidR="00D11474" w:rsidRPr="00D53E6B" w:rsidRDefault="00CE67ED" w:rsidP="006D6780">
            <w:pPr>
              <w:rPr>
                <w:rStyle w:val="afa"/>
                <w:b w:val="0"/>
                <w:snapToGrid/>
                <w:sz w:val="24"/>
                <w:szCs w:val="24"/>
              </w:rPr>
            </w:pPr>
            <w:r w:rsidRPr="00D53E6B">
              <w:rPr>
                <w:sz w:val="24"/>
                <w:szCs w:val="24"/>
              </w:rPr>
              <w:t>25.01.2021г.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667BC64"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CE67ED" w:rsidRPr="00D53E6B">
              <w:rPr>
                <w:rFonts w:ascii="Times New Roman" w:eastAsia="Times New Roman" w:hAnsi="Times New Roman"/>
                <w:noProof w:val="0"/>
                <w:snapToGrid w:val="0"/>
                <w:szCs w:val="24"/>
                <w:lang w:eastAsia="ru-RU"/>
              </w:rPr>
              <w:t xml:space="preserve">3 251 213,92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77777777" w:rsidR="00A72AE8" w:rsidRPr="00D53E6B" w:rsidRDefault="00D11474" w:rsidP="00A72AE8">
            <w:pPr>
              <w:pStyle w:val="Tabletext"/>
              <w:spacing w:after="120"/>
              <w:rPr>
                <w:snapToGrid w:val="0"/>
                <w:sz w:val="24"/>
              </w:rPr>
            </w:pPr>
            <w:r w:rsidRPr="00D53E6B">
              <w:rPr>
                <w:sz w:val="24"/>
              </w:rPr>
              <w:t>«</w:t>
            </w:r>
            <w:r w:rsidR="00A72AE8" w:rsidRPr="00D53E6B">
              <w:rPr>
                <w:sz w:val="24"/>
              </w:rPr>
              <w:t>05</w:t>
            </w:r>
            <w:r w:rsidRPr="00D53E6B">
              <w:rPr>
                <w:sz w:val="24"/>
              </w:rPr>
              <w:t xml:space="preserve">» </w:t>
            </w:r>
            <w:r w:rsidR="00A72AE8" w:rsidRPr="00D53E6B">
              <w:rPr>
                <w:sz w:val="24"/>
              </w:rPr>
              <w:t>февраля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3E7E46C2" w:rsidR="006058D6" w:rsidRPr="00D53E6B" w:rsidRDefault="006058D6" w:rsidP="006058D6">
            <w:pPr>
              <w:spacing w:after="120"/>
              <w:rPr>
                <w:b/>
                <w:i/>
                <w:sz w:val="24"/>
                <w:szCs w:val="24"/>
              </w:rPr>
            </w:pPr>
            <w:r w:rsidRPr="00D53E6B">
              <w:rPr>
                <w:b/>
                <w:i/>
                <w:sz w:val="24"/>
                <w:szCs w:val="24"/>
              </w:rPr>
              <w:t>«</w:t>
            </w:r>
            <w:r w:rsidR="00A72AE8" w:rsidRPr="00D53E6B">
              <w:rPr>
                <w:b/>
                <w:i/>
                <w:sz w:val="24"/>
                <w:szCs w:val="24"/>
              </w:rPr>
              <w:t>25</w:t>
            </w:r>
            <w:r w:rsidRPr="00D53E6B">
              <w:rPr>
                <w:b/>
                <w:i/>
                <w:sz w:val="24"/>
                <w:szCs w:val="24"/>
              </w:rPr>
              <w:t xml:space="preserve">» </w:t>
            </w:r>
            <w:r w:rsidR="00A72AE8" w:rsidRPr="00D53E6B">
              <w:rPr>
                <w:b/>
                <w:i/>
                <w:sz w:val="24"/>
                <w:szCs w:val="24"/>
              </w:rPr>
              <w:t>января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6F88EFED" w:rsidR="00D11474" w:rsidRPr="00D53E6B" w:rsidRDefault="006058D6" w:rsidP="00A72AE8">
            <w:pPr>
              <w:pStyle w:val="Tabletext"/>
              <w:spacing w:after="120"/>
              <w:rPr>
                <w:rStyle w:val="afa"/>
                <w:b w:val="0"/>
                <w:i w:val="0"/>
                <w:snapToGrid w:val="0"/>
                <w:sz w:val="24"/>
                <w:shd w:val="clear" w:color="auto" w:fill="auto"/>
              </w:rPr>
            </w:pPr>
            <w:r w:rsidRPr="00D53E6B">
              <w:rPr>
                <w:b/>
                <w:i/>
                <w:sz w:val="24"/>
              </w:rPr>
              <w:t>«</w:t>
            </w:r>
            <w:r w:rsidR="00A72AE8" w:rsidRPr="00D53E6B">
              <w:rPr>
                <w:b/>
                <w:i/>
                <w:sz w:val="24"/>
              </w:rPr>
              <w:t>05</w:t>
            </w:r>
            <w:r w:rsidRPr="00D53E6B">
              <w:rPr>
                <w:b/>
                <w:i/>
                <w:sz w:val="24"/>
              </w:rPr>
              <w:t xml:space="preserve">» </w:t>
            </w:r>
            <w:r w:rsidR="00A72AE8" w:rsidRPr="00D53E6B">
              <w:rPr>
                <w:b/>
                <w:i/>
                <w:sz w:val="24"/>
              </w:rPr>
              <w:t>февраля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63AB155B" w:rsidR="00D11474" w:rsidRPr="00D53E6B" w:rsidRDefault="00AD5255" w:rsidP="00A72AE8">
            <w:pPr>
              <w:pStyle w:val="Tabletext"/>
              <w:spacing w:after="120"/>
              <w:rPr>
                <w:sz w:val="24"/>
              </w:rPr>
            </w:pPr>
            <w:r w:rsidRPr="00D53E6B">
              <w:rPr>
                <w:b/>
                <w:i/>
                <w:snapToGrid w:val="0"/>
                <w:sz w:val="24"/>
              </w:rPr>
              <w:t>«</w:t>
            </w:r>
            <w:r w:rsidR="00A72AE8" w:rsidRPr="00D53E6B">
              <w:rPr>
                <w:b/>
                <w:i/>
                <w:snapToGrid w:val="0"/>
                <w:sz w:val="24"/>
              </w:rPr>
              <w:t>05</w:t>
            </w:r>
            <w:r w:rsidRPr="00D53E6B">
              <w:rPr>
                <w:b/>
                <w:i/>
                <w:snapToGrid w:val="0"/>
                <w:sz w:val="24"/>
              </w:rPr>
              <w:t>»</w:t>
            </w:r>
            <w:r w:rsidR="00F40A9A" w:rsidRPr="00D53E6B">
              <w:rPr>
                <w:b/>
                <w:i/>
                <w:snapToGrid w:val="0"/>
                <w:sz w:val="24"/>
              </w:rPr>
              <w:t> </w:t>
            </w:r>
            <w:r w:rsidR="00A72AE8" w:rsidRPr="00D53E6B">
              <w:rPr>
                <w:b/>
                <w:i/>
                <w:snapToGrid w:val="0"/>
                <w:sz w:val="24"/>
              </w:rPr>
              <w:t xml:space="preserve">марта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6FB6C1F4" w:rsidR="00D11474" w:rsidRPr="00D53E6B" w:rsidRDefault="00785813" w:rsidP="00A72AE8">
            <w:pPr>
              <w:pStyle w:val="Tabletext"/>
              <w:spacing w:after="120"/>
              <w:rPr>
                <w:b/>
                <w:i/>
                <w:snapToGrid w:val="0"/>
                <w:sz w:val="24"/>
                <w:shd w:val="clear" w:color="auto" w:fill="FFFF99"/>
              </w:rPr>
            </w:pPr>
            <w:r w:rsidRPr="00D53E6B">
              <w:rPr>
                <w:b/>
                <w:i/>
                <w:snapToGrid w:val="0"/>
                <w:sz w:val="24"/>
              </w:rPr>
              <w:t>«</w:t>
            </w:r>
            <w:r w:rsidR="00A72AE8" w:rsidRPr="00D53E6B">
              <w:rPr>
                <w:b/>
                <w:i/>
                <w:snapToGrid w:val="0"/>
                <w:sz w:val="24"/>
              </w:rPr>
              <w:t>15</w:t>
            </w:r>
            <w:r w:rsidRPr="00D53E6B">
              <w:rPr>
                <w:b/>
                <w:i/>
                <w:snapToGrid w:val="0"/>
                <w:sz w:val="24"/>
              </w:rPr>
              <w:t>» </w:t>
            </w:r>
            <w:r w:rsidR="00A72AE8" w:rsidRPr="00D53E6B">
              <w:rPr>
                <w:b/>
                <w:i/>
                <w:snapToGrid w:val="0"/>
                <w:sz w:val="24"/>
              </w:rPr>
              <w:t>марта</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8D5568D"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580156CB"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E678423"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11309E2"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0862E614"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3"/>
      <w:r w:rsidR="00B627B1">
        <w:t>.</w:t>
      </w:r>
    </w:p>
    <w:p w14:paraId="441C0003" w14:textId="08D09FF6"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0D947D68"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2607F6D7"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B8263C"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335076B4"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1"/>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986092B"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7F00B042"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5AB9B866"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34602BDC"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5"/>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4"/>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428A58C1"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FFCEBC9"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5F4FD940"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5E277D2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15EA91AF"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28423A4"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FE8FA8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7136F19"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7015FDDF"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881848">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85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881848"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65C3" w14:textId="77777777" w:rsidR="00BB12F6" w:rsidRDefault="00BB12F6">
      <w:r>
        <w:separator/>
      </w:r>
    </w:p>
  </w:endnote>
  <w:endnote w:type="continuationSeparator" w:id="0">
    <w:p w14:paraId="2068B6E6" w14:textId="77777777" w:rsidR="00BB12F6" w:rsidRDefault="00BB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51F13A2" w:rsidR="00881848" w:rsidRDefault="008818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0AC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0ACA">
      <w:rPr>
        <w:i/>
        <w:noProof/>
        <w:sz w:val="24"/>
        <w:szCs w:val="24"/>
      </w:rPr>
      <w:t>137</w:t>
    </w:r>
    <w:r w:rsidRPr="00B54ABF">
      <w:rPr>
        <w:i/>
        <w:sz w:val="24"/>
        <w:szCs w:val="24"/>
      </w:rPr>
      <w:fldChar w:fldCharType="end"/>
    </w:r>
  </w:p>
  <w:p w14:paraId="7D435DF6" w14:textId="77777777" w:rsidR="00881848" w:rsidRDefault="00881848">
    <w:pPr>
      <w:pStyle w:val="a9"/>
    </w:pPr>
  </w:p>
  <w:p w14:paraId="1C78909E" w14:textId="77777777" w:rsidR="00881848" w:rsidRDefault="008818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881848" w:rsidRPr="00B54ABF" w:rsidRDefault="00881848" w:rsidP="00B54ABF">
    <w:pPr>
      <w:tabs>
        <w:tab w:val="right" w:pos="10260"/>
      </w:tabs>
      <w:rPr>
        <w:i/>
        <w:sz w:val="24"/>
        <w:szCs w:val="24"/>
      </w:rPr>
    </w:pPr>
    <w:r>
      <w:rPr>
        <w:sz w:val="20"/>
      </w:rPr>
      <w:tab/>
    </w:r>
  </w:p>
  <w:p w14:paraId="5F3594D2" w14:textId="77777777" w:rsidR="00881848" w:rsidRPr="00B54ABF" w:rsidRDefault="00881848" w:rsidP="00B54ABF">
    <w:pPr>
      <w:tabs>
        <w:tab w:val="right" w:pos="10260"/>
      </w:tabs>
      <w:rPr>
        <w:i/>
        <w:sz w:val="24"/>
        <w:szCs w:val="24"/>
      </w:rPr>
    </w:pPr>
  </w:p>
  <w:p w14:paraId="259B2B2F" w14:textId="5C89A1D8" w:rsidR="00881848" w:rsidRDefault="008818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0AC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0ACA">
      <w:rPr>
        <w:i/>
        <w:noProof/>
        <w:sz w:val="24"/>
        <w:szCs w:val="24"/>
      </w:rPr>
      <w:t>137</w:t>
    </w:r>
    <w:r w:rsidRPr="00B54ABF">
      <w:rPr>
        <w:i/>
        <w:sz w:val="24"/>
        <w:szCs w:val="24"/>
      </w:rPr>
      <w:fldChar w:fldCharType="end"/>
    </w:r>
  </w:p>
  <w:p w14:paraId="4CD47D52" w14:textId="77777777" w:rsidR="00881848" w:rsidRDefault="008818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7E01688" w:rsidR="00881848" w:rsidRDefault="008818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0ACA">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0ACA">
      <w:rPr>
        <w:i/>
        <w:noProof/>
        <w:sz w:val="24"/>
        <w:szCs w:val="24"/>
      </w:rPr>
      <w:t>137</w:t>
    </w:r>
    <w:r w:rsidRPr="00B54ABF">
      <w:rPr>
        <w:i/>
        <w:sz w:val="24"/>
        <w:szCs w:val="24"/>
      </w:rPr>
      <w:fldChar w:fldCharType="end"/>
    </w:r>
  </w:p>
  <w:p w14:paraId="178A4A24" w14:textId="77777777" w:rsidR="00881848" w:rsidRDefault="00881848">
    <w:pPr>
      <w:pStyle w:val="a9"/>
    </w:pPr>
  </w:p>
  <w:p w14:paraId="2F4B0C50" w14:textId="77777777" w:rsidR="00881848" w:rsidRDefault="0088184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81848" w:rsidRPr="00B54ABF" w:rsidRDefault="00881848" w:rsidP="00B54ABF">
    <w:pPr>
      <w:tabs>
        <w:tab w:val="right" w:pos="10260"/>
      </w:tabs>
      <w:rPr>
        <w:i/>
        <w:sz w:val="24"/>
        <w:szCs w:val="24"/>
      </w:rPr>
    </w:pPr>
    <w:r>
      <w:rPr>
        <w:sz w:val="20"/>
      </w:rPr>
      <w:tab/>
    </w:r>
  </w:p>
  <w:p w14:paraId="0F135095" w14:textId="77777777" w:rsidR="00881848" w:rsidRPr="00B54ABF" w:rsidRDefault="00881848" w:rsidP="00B54ABF">
    <w:pPr>
      <w:tabs>
        <w:tab w:val="right" w:pos="10260"/>
      </w:tabs>
      <w:rPr>
        <w:i/>
        <w:sz w:val="24"/>
        <w:szCs w:val="24"/>
      </w:rPr>
    </w:pPr>
  </w:p>
  <w:p w14:paraId="5F278EC7" w14:textId="1C527C12" w:rsidR="00881848" w:rsidRDefault="008818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0AC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0ACA">
      <w:rPr>
        <w:i/>
        <w:noProof/>
        <w:sz w:val="24"/>
        <w:szCs w:val="24"/>
      </w:rPr>
      <w:t>137</w:t>
    </w:r>
    <w:r w:rsidRPr="00B54ABF">
      <w:rPr>
        <w:i/>
        <w:sz w:val="24"/>
        <w:szCs w:val="24"/>
      </w:rPr>
      <w:fldChar w:fldCharType="end"/>
    </w:r>
  </w:p>
  <w:p w14:paraId="730720D1" w14:textId="77777777" w:rsidR="00881848" w:rsidRDefault="008818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AA3BD" w14:textId="77777777" w:rsidR="00BB12F6" w:rsidRDefault="00BB12F6">
      <w:r>
        <w:separator/>
      </w:r>
    </w:p>
  </w:footnote>
  <w:footnote w:type="continuationSeparator" w:id="0">
    <w:p w14:paraId="01F05044" w14:textId="77777777" w:rsidR="00BB12F6" w:rsidRDefault="00BB12F6">
      <w:r>
        <w:continuationSeparator/>
      </w:r>
    </w:p>
  </w:footnote>
  <w:footnote w:id="1">
    <w:p w14:paraId="2F6DBBCC" w14:textId="77777777" w:rsidR="00881848" w:rsidRDefault="0088184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881848" w:rsidRDefault="00881848"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881848" w:rsidRDefault="0088184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881848" w:rsidRDefault="0088184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881848" w:rsidRDefault="0088184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881848" w:rsidRDefault="00881848"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881848" w:rsidRDefault="0088184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81848" w:rsidRDefault="0088184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81848" w:rsidRDefault="0088184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881848" w:rsidRDefault="00881848"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881848" w:rsidRDefault="00881848"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881848" w:rsidRDefault="0088184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881848" w:rsidRDefault="0088184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881848" w:rsidRDefault="00881848"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881848" w:rsidRDefault="0088184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881848" w:rsidRDefault="0088184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881848" w:rsidRDefault="0088184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881848" w:rsidRDefault="0088184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881848" w:rsidRDefault="0088184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881848" w:rsidRDefault="008818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881848" w:rsidRDefault="008818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881848" w:rsidRDefault="0088184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881848" w:rsidRDefault="008818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881848" w:rsidRDefault="0088184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881848" w:rsidRDefault="008818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881848" w:rsidRDefault="008818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881848" w:rsidRDefault="008818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881848" w:rsidRDefault="008818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881848" w:rsidRDefault="0088184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881848" w:rsidRDefault="008818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881848" w:rsidRDefault="00881848"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881848" w:rsidRDefault="00881848"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881848" w:rsidRDefault="00881848">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881848" w:rsidRDefault="0088184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881848" w:rsidRDefault="0088184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881848" w:rsidRDefault="0088184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881848" w:rsidRDefault="0088184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881848" w:rsidRDefault="0088184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881848" w:rsidRDefault="0088184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881848" w:rsidRPr="00033B77" w:rsidRDefault="0088184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881848" w:rsidRDefault="00881848">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0ACA"/>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5BC4"/>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22C"/>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27C2F"/>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848"/>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2F6"/>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3E5"/>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BE00-AD23-4541-914C-FCB47C26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37808</Words>
  <Characters>215507</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252810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12</cp:revision>
  <cp:lastPrinted>2018-05-25T11:25:00Z</cp:lastPrinted>
  <dcterms:created xsi:type="dcterms:W3CDTF">2021-01-20T11:50:00Z</dcterms:created>
  <dcterms:modified xsi:type="dcterms:W3CDTF">2021-01-25T01:50:00Z</dcterms:modified>
</cp:coreProperties>
</file>