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B37DC0" w:rsidRPr="00257FB3" w:rsidRDefault="00B37DC0" w:rsidP="00B37DC0">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B37DC0" w:rsidRPr="00257FB3" w:rsidRDefault="00B37DC0" w:rsidP="00B37DC0">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DE6713">
      <w:pPr>
        <w:widowControl w:val="0"/>
        <w:numPr>
          <w:ilvl w:val="1"/>
          <w:numId w:val="3"/>
        </w:numPr>
        <w:shd w:val="clear" w:color="auto" w:fill="FFFFFF"/>
        <w:tabs>
          <w:tab w:val="clear" w:pos="2025"/>
          <w:tab w:val="left" w:pos="1276"/>
          <w:tab w:val="num" w:pos="2268"/>
        </w:tabs>
        <w:ind w:left="0" w:firstLine="780"/>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DE6713" w:rsidRPr="00DE6713">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обслуживания СП "ПЦЭС"  филиала «Приморские ЭС»</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lastRenderedPageBreak/>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lastRenderedPageBreak/>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lastRenderedPageBreak/>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xml:space="preserve">- участие в саморегулируемой организации, основанной на членстве </w:t>
      </w:r>
      <w:r w:rsidRPr="007C1176">
        <w:rPr>
          <w:color w:val="000000" w:themeColor="text1"/>
        </w:rPr>
        <w:lastRenderedPageBreak/>
        <w:t>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806BB" w:rsidRPr="006806BB" w:rsidRDefault="006806BB" w:rsidP="006806BB">
      <w:pPr>
        <w:widowControl w:val="0"/>
        <w:tabs>
          <w:tab w:val="left" w:pos="1276"/>
        </w:tabs>
        <w:ind w:firstLine="709"/>
        <w:jc w:val="both"/>
        <w:rPr>
          <w:color w:val="000000" w:themeColor="text1"/>
        </w:rPr>
      </w:pPr>
      <w:r w:rsidRPr="006806BB">
        <w:rPr>
          <w:color w:val="000000" w:themeColor="text1"/>
        </w:rPr>
        <w:t xml:space="preserve">3.47. </w:t>
      </w:r>
      <w:r w:rsidRPr="006806BB">
        <w:rPr>
          <w:bCs/>
          <w:color w:val="000000" w:themeColor="text1"/>
        </w:rPr>
        <w:t>Выполнять полученные в ходе исполнения Договора указания Заказчика</w:t>
      </w:r>
      <w:r w:rsidRPr="006806BB">
        <w:rPr>
          <w:color w:val="000000" w:themeColor="text1"/>
        </w:rPr>
        <w:t xml:space="preserve"> </w:t>
      </w:r>
      <w:r w:rsidRPr="006806BB">
        <w:rPr>
          <w:bCs/>
          <w:color w:val="000000" w:themeColor="text1"/>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EE50C3">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w:t>
      </w:r>
      <w:r w:rsidRPr="007C1176">
        <w:lastRenderedPageBreak/>
        <w:t>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60301D" w:rsidRPr="0060301D">
        <w:rPr>
          <w:bCs/>
        </w:rPr>
        <w:t xml:space="preserve">является предельной / твердой и </w:t>
      </w:r>
      <w:r w:rsidRPr="007C1176">
        <w:t>составля</w:t>
      </w:r>
      <w:r w:rsidR="005D49C0" w:rsidRPr="007C1176">
        <w:t xml:space="preserve">ет </w:t>
      </w:r>
      <w:r w:rsidR="00825C53">
        <w:t>19 </w:t>
      </w:r>
      <w:r w:rsidR="00DE6713">
        <w:t>81</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w:t>
      </w:r>
      <w:r w:rsidR="00DE6713">
        <w:t>восемьсот десять</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DE6713">
        <w:t>772</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DE6713">
        <w:t>семьсот семьдесят две</w:t>
      </w:r>
      <w:r w:rsidR="0047408A">
        <w:t xml:space="preserve"> </w:t>
      </w:r>
      <w:r w:rsidR="00825C53">
        <w:t>тысяч</w:t>
      </w:r>
      <w:r w:rsidR="00DE6713">
        <w:t>и</w:t>
      </w:r>
      <w:r w:rsidR="00825C53">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C65288" w:rsidRPr="00C65288" w:rsidRDefault="00C65288" w:rsidP="00C65288">
      <w:pPr>
        <w:widowControl w:val="0"/>
        <w:shd w:val="clear" w:color="auto" w:fill="FFFFFF"/>
        <w:tabs>
          <w:tab w:val="left" w:pos="1276"/>
        </w:tabs>
        <w:ind w:firstLine="709"/>
        <w:jc w:val="both"/>
      </w:pPr>
      <w:r w:rsidRPr="00C65288">
        <w:t>5.2.</w:t>
      </w:r>
      <w:r w:rsidRPr="00C65288">
        <w:tab/>
        <w:t>Цена Договора включает в себя прибыль Подрядчика, а также все расходы и затраты Подрядчика на:</w:t>
      </w:r>
    </w:p>
    <w:p w:rsidR="00C65288" w:rsidRPr="00C65288" w:rsidRDefault="00C65288" w:rsidP="00C65288">
      <w:pPr>
        <w:widowControl w:val="0"/>
        <w:shd w:val="clear" w:color="auto" w:fill="FFFFFF"/>
        <w:tabs>
          <w:tab w:val="left" w:pos="1276"/>
        </w:tabs>
        <w:ind w:firstLine="709"/>
        <w:jc w:val="both"/>
      </w:pPr>
      <w:r w:rsidRPr="00C65288">
        <w:t>5.2.1.</w:t>
      </w:r>
      <w:r w:rsidRPr="00C65288">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C65288" w:rsidRPr="00C65288" w:rsidRDefault="00C65288" w:rsidP="00C65288">
      <w:pPr>
        <w:widowControl w:val="0"/>
        <w:shd w:val="clear" w:color="auto" w:fill="FFFFFF"/>
        <w:tabs>
          <w:tab w:val="left" w:pos="1276"/>
        </w:tabs>
        <w:ind w:firstLine="709"/>
        <w:jc w:val="both"/>
      </w:pPr>
      <w:r w:rsidRPr="00C65288">
        <w:t>5.2.2.</w:t>
      </w:r>
      <w:r w:rsidRPr="00C65288">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C65288" w:rsidRPr="00C65288" w:rsidRDefault="00C65288" w:rsidP="00C65288">
      <w:pPr>
        <w:widowControl w:val="0"/>
        <w:shd w:val="clear" w:color="auto" w:fill="FFFFFF"/>
        <w:tabs>
          <w:tab w:val="left" w:pos="1276"/>
        </w:tabs>
        <w:ind w:firstLine="709"/>
        <w:jc w:val="both"/>
      </w:pPr>
      <w:r w:rsidRPr="00C65288">
        <w:t>5.2.3.</w:t>
      </w:r>
      <w:r w:rsidRPr="00C65288">
        <w:tab/>
        <w:t>Заработную плату, накладные и командировочные расходы, перемещение и размещение персонала Подрядчика.</w:t>
      </w:r>
    </w:p>
    <w:p w:rsidR="00C65288" w:rsidRPr="00C65288" w:rsidRDefault="00C65288" w:rsidP="00C65288">
      <w:pPr>
        <w:widowControl w:val="0"/>
        <w:shd w:val="clear" w:color="auto" w:fill="FFFFFF"/>
        <w:tabs>
          <w:tab w:val="left" w:pos="1276"/>
        </w:tabs>
        <w:ind w:firstLine="709"/>
        <w:jc w:val="both"/>
      </w:pPr>
      <w:r w:rsidRPr="00C65288">
        <w:t>5.2.4.</w:t>
      </w:r>
      <w:r w:rsidRPr="00C65288">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C65288" w:rsidRPr="007C1176" w:rsidRDefault="00C65288" w:rsidP="00C65288">
      <w:pPr>
        <w:widowControl w:val="0"/>
        <w:shd w:val="clear" w:color="auto" w:fill="FFFFFF"/>
        <w:tabs>
          <w:tab w:val="left" w:pos="1276"/>
        </w:tabs>
        <w:ind w:firstLine="709"/>
        <w:jc w:val="both"/>
      </w:pPr>
      <w:r w:rsidRPr="00C65288">
        <w:t>5.2.5.</w:t>
      </w:r>
      <w:r w:rsidRPr="00C65288">
        <w:tab/>
        <w:t>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C65288" w:rsidRPr="007C1176" w:rsidRDefault="00C65288" w:rsidP="00C65288">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C65288" w:rsidRPr="007C1176" w:rsidRDefault="00C65288" w:rsidP="00C65288">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lastRenderedPageBreak/>
        <w:t>К каждому дополнительному соглашению формируется самостоятельная Сводная таблица стоимости работ с приложением локальных смет.</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65288" w:rsidRPr="007C1176" w:rsidRDefault="00C65288" w:rsidP="00C65288">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C65288" w:rsidRPr="007C1176" w:rsidRDefault="00C65288" w:rsidP="00C65288">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Default="00C65288" w:rsidP="00C65288">
      <w:pPr>
        <w:widowControl w:val="0"/>
        <w:shd w:val="clear" w:color="auto" w:fill="FFFFFF"/>
        <w:tabs>
          <w:tab w:val="left" w:pos="1276"/>
        </w:tabs>
        <w:ind w:firstLine="709"/>
        <w:jc w:val="both"/>
        <w:rPr>
          <w:bCs/>
        </w:rPr>
      </w:pPr>
      <w:r>
        <w:rPr>
          <w:bCs/>
        </w:rPr>
        <w:t xml:space="preserve">5.11. </w:t>
      </w: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60301D" w:rsidRDefault="0060301D" w:rsidP="00C65288">
      <w:pPr>
        <w:widowControl w:val="0"/>
        <w:shd w:val="clear" w:color="auto" w:fill="FFFFFF"/>
        <w:tabs>
          <w:tab w:val="left" w:pos="1276"/>
        </w:tabs>
        <w:ind w:firstLine="709"/>
        <w:jc w:val="both"/>
        <w:rPr>
          <w:bCs/>
        </w:rPr>
      </w:pPr>
      <w:r>
        <w:rPr>
          <w:bCs/>
        </w:rPr>
        <w:t xml:space="preserve">5.12. </w:t>
      </w:r>
      <w:r w:rsidRPr="0060301D">
        <w:rPr>
          <w:bCs/>
        </w:rPr>
        <w:t>Индексация Цены Договора не допускается</w:t>
      </w:r>
      <w:r>
        <w:rPr>
          <w:bCs/>
        </w:rPr>
        <w:t>.</w:t>
      </w:r>
    </w:p>
    <w:p w:rsidR="00C65288" w:rsidRPr="007C1176" w:rsidRDefault="00C65288" w:rsidP="00C65288">
      <w:pPr>
        <w:widowControl w:val="0"/>
        <w:shd w:val="clear" w:color="auto" w:fill="FFFFFF"/>
        <w:tabs>
          <w:tab w:val="left" w:pos="1276"/>
        </w:tabs>
        <w:ind w:firstLine="709"/>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60301D">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AD4F57">
        <w:t>течении 15 (пятнадцати)</w:t>
      </w:r>
      <w:r w:rsidRPr="007C1176">
        <w:t xml:space="preserve"> </w:t>
      </w:r>
      <w:r w:rsidR="00BB59B6">
        <w:rPr>
          <w:color w:val="000000"/>
        </w:rPr>
        <w:t>рабочих</w:t>
      </w:r>
      <w:r w:rsidR="00BB59B6" w:rsidRPr="007C1176">
        <w:rPr>
          <w:color w:val="000000"/>
        </w:rPr>
        <w:t xml:space="preserve"> </w:t>
      </w:r>
      <w:r w:rsidRPr="007C1176">
        <w:t>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806BB" w:rsidRPr="006806BB" w:rsidRDefault="006806BB" w:rsidP="006806B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6806B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806BB" w:rsidRPr="006806BB" w:rsidRDefault="006806BB" w:rsidP="006806B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6806B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6806BB">
        <w:t>.</w:t>
      </w:r>
    </w:p>
    <w:p w:rsidR="006806BB" w:rsidRPr="006806BB" w:rsidRDefault="006806BB" w:rsidP="006806BB">
      <w:pPr>
        <w:widowControl w:val="0"/>
        <w:numPr>
          <w:ilvl w:val="1"/>
          <w:numId w:val="15"/>
        </w:numPr>
        <w:shd w:val="clear" w:color="auto" w:fill="FFFFFF"/>
        <w:tabs>
          <w:tab w:val="left" w:pos="1276"/>
        </w:tabs>
        <w:ind w:left="0" w:firstLine="709"/>
        <w:jc w:val="both"/>
        <w:rPr>
          <w:b/>
          <w:bCs/>
          <w:color w:val="000000"/>
        </w:rPr>
      </w:pPr>
      <w:r w:rsidRPr="006806BB">
        <w:lastRenderedPageBreak/>
        <w:t xml:space="preserve">Подрядчик </w:t>
      </w:r>
      <w:r w:rsidRPr="006806BB">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6806BB">
        <w:rPr>
          <w:bCs/>
          <w:color w:val="000000"/>
        </w:rPr>
        <w:t>.</w:t>
      </w:r>
    </w:p>
    <w:p w:rsidR="006806BB" w:rsidRPr="006806BB" w:rsidRDefault="006806BB" w:rsidP="006806BB">
      <w:pPr>
        <w:widowControl w:val="0"/>
        <w:numPr>
          <w:ilvl w:val="1"/>
          <w:numId w:val="15"/>
        </w:numPr>
        <w:shd w:val="clear" w:color="auto" w:fill="FFFFFF"/>
        <w:tabs>
          <w:tab w:val="clear" w:pos="1713"/>
          <w:tab w:val="left" w:pos="1276"/>
          <w:tab w:val="num" w:pos="1843"/>
        </w:tabs>
        <w:ind w:left="0" w:firstLine="709"/>
        <w:jc w:val="both"/>
        <w:rPr>
          <w:bCs/>
          <w:color w:val="000000"/>
        </w:rPr>
      </w:pPr>
      <w:r w:rsidRPr="006806BB">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6806BB" w:rsidRDefault="006806BB" w:rsidP="006806BB">
      <w:pPr>
        <w:widowControl w:val="0"/>
        <w:numPr>
          <w:ilvl w:val="1"/>
          <w:numId w:val="15"/>
        </w:numPr>
        <w:shd w:val="clear" w:color="auto" w:fill="FFFFFF"/>
        <w:tabs>
          <w:tab w:val="left" w:pos="1276"/>
        </w:tabs>
        <w:ind w:left="0" w:firstLine="709"/>
        <w:jc w:val="both"/>
        <w:rPr>
          <w:b/>
          <w:bCs/>
          <w:color w:val="000000"/>
        </w:rPr>
      </w:pPr>
      <w:r w:rsidRPr="006806BB">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6806BB"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6806BB" w:rsidRPr="006806BB" w:rsidRDefault="00C65288" w:rsidP="006806BB">
      <w:pPr>
        <w:tabs>
          <w:tab w:val="left" w:pos="0"/>
          <w:tab w:val="left" w:pos="567"/>
          <w:tab w:val="left" w:pos="709"/>
          <w:tab w:val="left" w:pos="1134"/>
        </w:tabs>
        <w:ind w:firstLine="720"/>
        <w:contextualSpacing/>
        <w:jc w:val="both"/>
        <w:rPr>
          <w:color w:val="000000" w:themeColor="text1"/>
        </w:rPr>
      </w:pPr>
      <w:r w:rsidRPr="00C65288">
        <w:rPr>
          <w:color w:val="000000" w:themeColor="text1"/>
        </w:rPr>
        <w:t xml:space="preserve">7.1. </w:t>
      </w:r>
      <w:r w:rsidR="006806BB" w:rsidRPr="006806BB">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7.1.1.</w:t>
      </w:r>
      <w:r w:rsidRPr="006806BB">
        <w:rPr>
          <w:color w:val="000000" w:themeColor="text1"/>
        </w:rPr>
        <w:tab/>
        <w:t>Банковская гарантия должна быть безотзывной и безусловной (гарантия по первому требованию);</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7.1.2.</w:t>
      </w:r>
      <w:r w:rsidRPr="006806BB">
        <w:rPr>
          <w:color w:val="000000" w:themeColor="text1"/>
        </w:rPr>
        <w:tab/>
        <w:t>Бенефициар по Банковской гарантии – Заказчик, принципал – Подрядчик;</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7.1.3.</w:t>
      </w:r>
      <w:r w:rsidRPr="006806BB">
        <w:rPr>
          <w:color w:val="000000" w:themeColor="text1"/>
        </w:rPr>
        <w:tab/>
        <w:t>Сумма Банковской гарантии должна быть выражена в валюте расчетов по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7.1.4.</w:t>
      </w:r>
      <w:r w:rsidRPr="006806BB">
        <w:rPr>
          <w:color w:val="000000" w:themeColor="text1"/>
        </w:rPr>
        <w:tab/>
        <w:t>Сумма Банковской гарантии надлежащего исполнения обязательств по Договору в отношении каждого Объекта: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в размере 5 (Пять) процентов от соответствующего Объекта.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7.1.5.</w:t>
      </w:r>
      <w:r w:rsidRPr="006806BB">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отказа Подрядчика от исполнения обязательств по Договору, в том числе одностороннего отказа от Договора;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lastRenderedPageBreak/>
        <w:sym w:font="Symbol" w:char="F0BE"/>
      </w:r>
      <w:r w:rsidRPr="006806BB">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введения арбитражным судом процедуры несостоятельности (банкротства) в отношении Подрядчика;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признания Договора недействительным по причинам отсутствия необходимых корпоративных одобрений у Подрядчика;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7.1.6.</w:t>
      </w:r>
      <w:r w:rsidRPr="006806BB">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7.1.7.</w:t>
      </w:r>
      <w:r w:rsidRPr="006806BB">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7.1.8.</w:t>
      </w:r>
      <w:r w:rsidRPr="006806BB">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7.1.9.</w:t>
      </w:r>
      <w:r w:rsidRPr="006806BB">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7.1.10.</w:t>
      </w:r>
      <w:r w:rsidRPr="006806BB">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7.2.</w:t>
      </w:r>
      <w:r w:rsidRPr="006806BB">
        <w:rPr>
          <w:color w:val="000000" w:themeColor="text1"/>
        </w:rPr>
        <w:tab/>
        <w:t>Банк, выдавший Банковскую гарантию, должен соответствовать критериям, установленным в Приложении №8 к Договору.</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7.3.</w:t>
      </w:r>
      <w:r w:rsidRPr="006806BB">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7.4.</w:t>
      </w:r>
      <w:r w:rsidRPr="006806BB">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7.5.</w:t>
      </w:r>
      <w:r w:rsidRPr="006806BB">
        <w:rPr>
          <w:color w:val="000000" w:themeColor="text1"/>
        </w:rPr>
        <w:tab/>
        <w:t xml:space="preserve">В случаях: </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sym w:font="Symbol" w:char="F0BE"/>
      </w:r>
      <w:r w:rsidRPr="006806BB">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w:t>
      </w:r>
      <w:r w:rsidRPr="006806BB">
        <w:rPr>
          <w:color w:val="000000" w:themeColor="text1"/>
        </w:rPr>
        <w:lastRenderedPageBreak/>
        <w:t>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806BB" w:rsidRPr="006806BB"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6806BB" w:rsidP="006806BB">
      <w:pPr>
        <w:tabs>
          <w:tab w:val="left" w:pos="0"/>
          <w:tab w:val="left" w:pos="567"/>
          <w:tab w:val="left" w:pos="709"/>
          <w:tab w:val="left" w:pos="1134"/>
        </w:tabs>
        <w:ind w:firstLine="720"/>
        <w:contextualSpacing/>
        <w:jc w:val="both"/>
        <w:rPr>
          <w:color w:val="000000" w:themeColor="text1"/>
        </w:rPr>
      </w:pPr>
      <w:r w:rsidRPr="006806BB">
        <w:rPr>
          <w:color w:val="000000" w:themeColor="text1"/>
        </w:rPr>
        <w:t>7.6.</w:t>
      </w:r>
      <w:r w:rsidRPr="006806BB">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В случае если представителем Заказчика внесены в журнал </w:t>
      </w:r>
      <w:r w:rsidRPr="007C1176">
        <w:lastRenderedPageBreak/>
        <w:t>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w:t>
      </w:r>
      <w:r w:rsidRPr="007C1176">
        <w:lastRenderedPageBreak/>
        <w:t xml:space="preserve">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 xml:space="preserve">Подрядчик представляет приемочной комиссии следующую </w:t>
      </w:r>
      <w:r w:rsidRPr="007C1176">
        <w:lastRenderedPageBreak/>
        <w:t>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6806BB"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6806BB" w:rsidRPr="007C1176" w:rsidRDefault="006806BB"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 xml:space="preserve">Штрафной неустойки в размере 0,2 (ноль целых и две десятых) процента от цены этапа работ за каждый день просрочки – в случае, </w:t>
      </w:r>
      <w:r w:rsidRPr="007C1176">
        <w:lastRenderedPageBreak/>
        <w:t>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w:t>
      </w:r>
      <w:r w:rsidRPr="007C1176">
        <w:lastRenderedPageBreak/>
        <w:t>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lastRenderedPageBreak/>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lastRenderedPageBreak/>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D860EC">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D860EC">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D860EC">
        <w:t>8</w:t>
      </w:r>
      <w:r>
        <w:t xml:space="preserve">. В случае, если указанные обстоятельства повлекли за собой неисполнение (ненадлежащее исполнение) Договора на согласованных </w:t>
      </w:r>
      <w:r>
        <w:lastRenderedPageBreak/>
        <w:t>Сторонами условиях:</w:t>
      </w:r>
    </w:p>
    <w:p w:rsidR="00DE2AA6" w:rsidRDefault="00D860EC"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D860EC">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D860EC">
        <w:t>18</w:t>
      </w:r>
      <w:r>
        <w:t>.</w:t>
      </w:r>
      <w:r w:rsidR="00D860EC">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B37DC0" w:rsidRPr="007C1176" w:rsidTr="0027783B">
        <w:trPr>
          <w:trHeight w:val="679"/>
        </w:trPr>
        <w:tc>
          <w:tcPr>
            <w:tcW w:w="5103" w:type="dxa"/>
          </w:tcPr>
          <w:p w:rsidR="00B37DC0" w:rsidRPr="00257FB3" w:rsidRDefault="00B37DC0" w:rsidP="00B37DC0">
            <w:pPr>
              <w:shd w:val="clear" w:color="auto" w:fill="FFFFFF"/>
              <w:tabs>
                <w:tab w:val="left" w:pos="993"/>
                <w:tab w:val="left" w:pos="1276"/>
              </w:tabs>
              <w:ind w:firstLine="720"/>
              <w:rPr>
                <w:bCs/>
              </w:rPr>
            </w:pPr>
          </w:p>
          <w:p w:rsidR="00B37DC0" w:rsidRPr="00257FB3" w:rsidRDefault="00B37DC0" w:rsidP="00B37DC0">
            <w:pPr>
              <w:shd w:val="clear" w:color="auto" w:fill="FFFFFF"/>
              <w:tabs>
                <w:tab w:val="left" w:pos="993"/>
                <w:tab w:val="left" w:pos="1276"/>
              </w:tabs>
              <w:jc w:val="center"/>
              <w:rPr>
                <w:b/>
                <w:bCs/>
              </w:rPr>
            </w:pPr>
            <w:r w:rsidRPr="00257FB3">
              <w:rPr>
                <w:b/>
                <w:bCs/>
              </w:rPr>
              <w:t>ЗАКАЗЧИК:</w:t>
            </w:r>
          </w:p>
          <w:p w:rsidR="00B37DC0" w:rsidRPr="00257FB3" w:rsidRDefault="00B37DC0" w:rsidP="00B37DC0">
            <w:pPr>
              <w:shd w:val="clear" w:color="auto" w:fill="FFFFFF"/>
              <w:ind w:left="79" w:hanging="7"/>
              <w:jc w:val="center"/>
              <w:rPr>
                <w:b/>
              </w:rPr>
            </w:pPr>
            <w:r w:rsidRPr="00257FB3">
              <w:rPr>
                <w:b/>
              </w:rPr>
              <w:t>Акционерное общество</w:t>
            </w:r>
          </w:p>
          <w:p w:rsidR="00B37DC0" w:rsidRPr="00257FB3" w:rsidRDefault="00B37DC0" w:rsidP="00B37DC0">
            <w:pPr>
              <w:shd w:val="clear" w:color="auto" w:fill="FFFFFF"/>
              <w:ind w:left="50" w:hanging="7"/>
              <w:jc w:val="center"/>
              <w:rPr>
                <w:b/>
              </w:rPr>
            </w:pPr>
            <w:r w:rsidRPr="00257FB3">
              <w:rPr>
                <w:b/>
                <w:spacing w:val="-1"/>
              </w:rPr>
              <w:t>«Дальневосточная распределительная</w:t>
            </w:r>
          </w:p>
          <w:p w:rsidR="00B37DC0" w:rsidRPr="00257FB3" w:rsidRDefault="00B37DC0" w:rsidP="00B37DC0">
            <w:pPr>
              <w:shd w:val="clear" w:color="auto" w:fill="FFFFFF"/>
              <w:ind w:left="50" w:hanging="7"/>
              <w:jc w:val="center"/>
              <w:rPr>
                <w:b/>
              </w:rPr>
            </w:pPr>
            <w:r w:rsidRPr="00257FB3">
              <w:rPr>
                <w:b/>
              </w:rPr>
              <w:t>сетевая компания» (АО «ДРСК»)</w:t>
            </w:r>
          </w:p>
          <w:p w:rsidR="00B37DC0" w:rsidRPr="00257FB3" w:rsidRDefault="00B37DC0" w:rsidP="00B37DC0">
            <w:pPr>
              <w:shd w:val="clear" w:color="auto" w:fill="FFFFFF"/>
              <w:ind w:left="14" w:hanging="7"/>
              <w:jc w:val="center"/>
            </w:pPr>
            <w:r w:rsidRPr="00257FB3">
              <w:rPr>
                <w:spacing w:val="-1"/>
              </w:rPr>
              <w:t>675000, Российская Федерация, Амурская</w:t>
            </w:r>
          </w:p>
          <w:p w:rsidR="00B37DC0" w:rsidRPr="00257FB3" w:rsidRDefault="00B37DC0" w:rsidP="00B37DC0">
            <w:pPr>
              <w:shd w:val="clear" w:color="auto" w:fill="FFFFFF"/>
              <w:ind w:left="43" w:hanging="7"/>
              <w:jc w:val="center"/>
            </w:pPr>
            <w:r w:rsidRPr="00257FB3">
              <w:t>область, г. Благовещенск, ул. Шевченко, д.</w:t>
            </w:r>
            <w:r w:rsidRPr="00257FB3">
              <w:rPr>
                <w:spacing w:val="-15"/>
              </w:rPr>
              <w:t>32</w:t>
            </w:r>
          </w:p>
          <w:p w:rsidR="00B37DC0" w:rsidRPr="00257FB3" w:rsidRDefault="00B37DC0" w:rsidP="00B37DC0">
            <w:pPr>
              <w:shd w:val="clear" w:color="auto" w:fill="FFFFFF"/>
              <w:ind w:hanging="7"/>
              <w:jc w:val="center"/>
              <w:rPr>
                <w:spacing w:val="-1"/>
              </w:rPr>
            </w:pPr>
            <w:r w:rsidRPr="00257FB3">
              <w:rPr>
                <w:spacing w:val="-1"/>
              </w:rPr>
              <w:t>ИНН 2801108200, КПП 775050001</w:t>
            </w:r>
          </w:p>
          <w:p w:rsidR="00B37DC0" w:rsidRPr="00257FB3" w:rsidRDefault="00B37DC0" w:rsidP="00B37DC0">
            <w:pPr>
              <w:shd w:val="clear" w:color="auto" w:fill="FFFFFF"/>
              <w:ind w:hanging="7"/>
              <w:jc w:val="center"/>
              <w:rPr>
                <w:spacing w:val="-1"/>
              </w:rPr>
            </w:pPr>
            <w:r w:rsidRPr="00257FB3">
              <w:rPr>
                <w:spacing w:val="-1"/>
              </w:rPr>
              <w:t>ОКТМО 10701000001, ОГРН 1052800111308</w:t>
            </w:r>
          </w:p>
          <w:p w:rsidR="00B37DC0" w:rsidRPr="00257FB3" w:rsidRDefault="00B37DC0" w:rsidP="00B37DC0">
            <w:pPr>
              <w:shd w:val="clear" w:color="auto" w:fill="FFFFFF"/>
              <w:ind w:hanging="7"/>
              <w:jc w:val="center"/>
            </w:pPr>
            <w:r w:rsidRPr="00257FB3">
              <w:rPr>
                <w:spacing w:val="-1"/>
              </w:rPr>
              <w:t>Р/с 40702810003010113258</w:t>
            </w:r>
          </w:p>
          <w:p w:rsidR="00B37DC0" w:rsidRPr="00257FB3" w:rsidRDefault="00B37DC0" w:rsidP="00B37DC0">
            <w:pPr>
              <w:shd w:val="clear" w:color="auto" w:fill="FFFFFF"/>
              <w:ind w:hanging="7"/>
              <w:jc w:val="center"/>
            </w:pPr>
            <w:r w:rsidRPr="00257FB3">
              <w:t>ДАЛЬНЕВОСТОЧНЫЙ БАНК ПАО СБЕРБАНК Г. ХАБАРОВСК</w:t>
            </w:r>
          </w:p>
          <w:p w:rsidR="00B37DC0" w:rsidRPr="00257FB3" w:rsidRDefault="00B37DC0" w:rsidP="00B37DC0">
            <w:pPr>
              <w:shd w:val="clear" w:color="auto" w:fill="FFFFFF"/>
              <w:ind w:hanging="7"/>
              <w:jc w:val="center"/>
            </w:pPr>
            <w:r w:rsidRPr="00257FB3">
              <w:rPr>
                <w:spacing w:val="-3"/>
              </w:rPr>
              <w:t>БИК 040813608</w:t>
            </w:r>
          </w:p>
          <w:p w:rsidR="00B37DC0" w:rsidRPr="00257FB3" w:rsidRDefault="00B37DC0" w:rsidP="00B37DC0">
            <w:pPr>
              <w:shd w:val="clear" w:color="auto" w:fill="FFFFFF"/>
              <w:ind w:hanging="7"/>
              <w:jc w:val="center"/>
              <w:rPr>
                <w:spacing w:val="-1"/>
              </w:rPr>
            </w:pPr>
            <w:r w:rsidRPr="00257FB3">
              <w:rPr>
                <w:spacing w:val="-1"/>
              </w:rPr>
              <w:t>К/с 30101810600000000608</w:t>
            </w:r>
          </w:p>
          <w:p w:rsidR="00B37DC0" w:rsidRPr="00257FB3" w:rsidRDefault="00B37DC0" w:rsidP="00B37DC0">
            <w:pPr>
              <w:shd w:val="clear" w:color="auto" w:fill="FFFFFF"/>
              <w:tabs>
                <w:tab w:val="left" w:pos="993"/>
                <w:tab w:val="left" w:pos="1276"/>
              </w:tabs>
              <w:jc w:val="center"/>
              <w:rPr>
                <w:b/>
                <w:bCs/>
              </w:rPr>
            </w:pPr>
          </w:p>
          <w:p w:rsidR="00B37DC0" w:rsidRPr="00257FB3" w:rsidRDefault="00B37DC0" w:rsidP="00B37DC0">
            <w:pPr>
              <w:shd w:val="clear" w:color="auto" w:fill="FFFFFF"/>
              <w:tabs>
                <w:tab w:val="left" w:pos="993"/>
                <w:tab w:val="left" w:pos="1276"/>
              </w:tabs>
              <w:ind w:left="34"/>
              <w:jc w:val="center"/>
              <w:rPr>
                <w:b/>
                <w:bCs/>
              </w:rPr>
            </w:pPr>
            <w:r w:rsidRPr="00257FB3">
              <w:rPr>
                <w:b/>
                <w:bCs/>
              </w:rPr>
              <w:t>Заместитель Генерального директора</w:t>
            </w:r>
          </w:p>
          <w:p w:rsidR="00B37DC0" w:rsidRPr="00257FB3" w:rsidRDefault="00B37DC0" w:rsidP="00B37DC0">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B37DC0" w:rsidRPr="00257FB3" w:rsidRDefault="00B37DC0" w:rsidP="00B37DC0">
            <w:pPr>
              <w:shd w:val="clear" w:color="auto" w:fill="FFFFFF"/>
              <w:tabs>
                <w:tab w:val="left" w:pos="993"/>
                <w:tab w:val="left" w:pos="1276"/>
              </w:tabs>
              <w:ind w:left="34"/>
              <w:rPr>
                <w:b/>
                <w:bCs/>
              </w:rPr>
            </w:pPr>
          </w:p>
          <w:p w:rsidR="00B37DC0" w:rsidRPr="00257FB3" w:rsidRDefault="00B37DC0" w:rsidP="00B37DC0">
            <w:pPr>
              <w:shd w:val="clear" w:color="auto" w:fill="FFFFFF"/>
              <w:tabs>
                <w:tab w:val="left" w:pos="993"/>
                <w:tab w:val="left" w:pos="1276"/>
              </w:tabs>
              <w:ind w:left="34"/>
              <w:rPr>
                <w:b/>
                <w:bCs/>
              </w:rPr>
            </w:pPr>
            <w:r w:rsidRPr="00257FB3">
              <w:rPr>
                <w:b/>
                <w:bCs/>
              </w:rPr>
              <w:t>_____________________ В.А. Юхимук</w:t>
            </w:r>
          </w:p>
          <w:p w:rsidR="00B37DC0" w:rsidRPr="00257FB3" w:rsidRDefault="00B37DC0" w:rsidP="00B37DC0">
            <w:pPr>
              <w:shd w:val="clear" w:color="auto" w:fill="FFFFFF"/>
              <w:tabs>
                <w:tab w:val="left" w:pos="993"/>
                <w:tab w:val="left" w:pos="1276"/>
              </w:tabs>
              <w:ind w:left="34"/>
              <w:rPr>
                <w:bCs/>
              </w:rPr>
            </w:pPr>
            <w:r w:rsidRPr="00257FB3">
              <w:rPr>
                <w:bCs/>
              </w:rPr>
              <w:t>м.п.</w:t>
            </w:r>
          </w:p>
        </w:tc>
        <w:tc>
          <w:tcPr>
            <w:tcW w:w="5103" w:type="dxa"/>
          </w:tcPr>
          <w:p w:rsidR="00B37DC0" w:rsidRPr="00257FB3" w:rsidRDefault="00B37DC0" w:rsidP="00B37DC0">
            <w:pPr>
              <w:shd w:val="clear" w:color="auto" w:fill="FFFFFF"/>
              <w:tabs>
                <w:tab w:val="left" w:pos="993"/>
                <w:tab w:val="left" w:pos="1276"/>
              </w:tabs>
              <w:ind w:firstLine="720"/>
              <w:jc w:val="both"/>
            </w:pPr>
          </w:p>
          <w:p w:rsidR="00B37DC0" w:rsidRPr="00257FB3" w:rsidRDefault="00B37DC0" w:rsidP="00B37DC0">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lastRenderedPageBreak/>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w:t>
      </w:r>
      <w:r w:rsidRPr="007C1176">
        <w:rPr>
          <w:color w:val="000000" w:themeColor="text1"/>
          <w:sz w:val="24"/>
          <w:szCs w:val="24"/>
        </w:rPr>
        <w:lastRenderedPageBreak/>
        <w:t>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B04D55" w:rsidRPr="00B04D55" w:rsidRDefault="00B04D55" w:rsidP="00B04D55">
      <w:pPr>
        <w:widowControl w:val="0"/>
        <w:tabs>
          <w:tab w:val="left" w:pos="1134"/>
        </w:tabs>
        <w:ind w:firstLine="709"/>
        <w:jc w:val="both"/>
        <w:rPr>
          <w:szCs w:val="26"/>
        </w:rPr>
      </w:pPr>
      <w:r w:rsidRPr="00B04D55">
        <w:rPr>
          <w:szCs w:val="26"/>
        </w:rPr>
        <w:t>Банк-Гарант (кредитная организация), выдающий Банковскую гарантию, должен соответствовать следующим критериям:</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04D55">
          <w:rPr>
            <w:szCs w:val="26"/>
          </w:rPr>
          <w:t>www.cbr.ru</w:t>
        </w:r>
      </w:hyperlink>
      <w:r w:rsidRPr="00B04D55">
        <w:rPr>
          <w:szCs w:val="26"/>
        </w:rPr>
        <w:t xml:space="preserve">) по строке 000 «Расчёт собственных средств (капитала) («Базель III»)», код формы 0409123 и рассчитанного в соответствии с </w:t>
      </w:r>
      <w:r w:rsidRPr="00B04D55">
        <w:rPr>
          <w:color w:val="333333"/>
          <w:szCs w:val="26"/>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B04D55">
        <w:rPr>
          <w:szCs w:val="26"/>
        </w:rPr>
        <w:t xml:space="preserve"> (далее – Методика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Иметь кредитный рейтинг по национальной шкале не ниже </w:t>
      </w:r>
      <w:r w:rsidRPr="00B04D55">
        <w:rPr>
          <w:szCs w:val="26"/>
        </w:rPr>
        <w:lastRenderedPageBreak/>
        <w:t>уровня «А-» АКРА или не ниже уровня «ruВВВ»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B04D55" w:rsidRPr="00B04D55" w:rsidRDefault="00B04D55" w:rsidP="00B04D55">
      <w:pPr>
        <w:widowControl w:val="0"/>
        <w:tabs>
          <w:tab w:val="left" w:pos="1134"/>
        </w:tabs>
        <w:ind w:firstLine="709"/>
        <w:contextualSpacing/>
        <w:jc w:val="both"/>
        <w:rPr>
          <w:szCs w:val="26"/>
        </w:rPr>
      </w:pPr>
      <w:r w:rsidRPr="00B04D55">
        <w:rPr>
          <w:szCs w:val="26"/>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04D55" w:rsidRPr="00B04D55" w:rsidRDefault="00B04D55" w:rsidP="00B04D55">
      <w:pPr>
        <w:widowControl w:val="0"/>
        <w:numPr>
          <w:ilvl w:val="0"/>
          <w:numId w:val="30"/>
        </w:numPr>
        <w:tabs>
          <w:tab w:val="left" w:pos="1134"/>
        </w:tabs>
        <w:spacing w:before="60"/>
        <w:ind w:left="0" w:firstLine="709"/>
        <w:contextualSpacing/>
        <w:jc w:val="both"/>
        <w:rPr>
          <w:szCs w:val="26"/>
          <w:lang w:eastAsia="x-none"/>
        </w:rPr>
      </w:pPr>
      <w:r w:rsidRPr="00B04D55">
        <w:rPr>
          <w:szCs w:val="26"/>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B04D55">
        <w:rPr>
          <w:szCs w:val="26"/>
          <w:lang w:val="x-none" w:eastAsia="x-none"/>
        </w:rPr>
        <w:t xml:space="preserve"> в разделе «</w:t>
      </w:r>
      <w:r w:rsidRPr="00B04D55">
        <w:rPr>
          <w:szCs w:val="26"/>
          <w:lang w:eastAsia="x-none"/>
        </w:rPr>
        <w:t>Оздоровление банков</w:t>
      </w:r>
      <w:r w:rsidRPr="00B04D55">
        <w:rPr>
          <w:szCs w:val="26"/>
          <w:lang w:val="x-none" w:eastAsia="x-none"/>
        </w:rPr>
        <w:t>» сайта Государственной корпорации «Агентство по страхованию вкладов» (</w:t>
      </w:r>
      <w:r w:rsidRPr="00B04D55">
        <w:rPr>
          <w:szCs w:val="26"/>
        </w:rPr>
        <w:t>http://www.asv.org.ru))</w:t>
      </w:r>
      <w:r w:rsidRPr="00B04D55">
        <w:rPr>
          <w:szCs w:val="26"/>
          <w:lang w:eastAsia="x-none"/>
        </w:rPr>
        <w:t>.</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Не должен иметь просроченную задолженность перед </w:t>
      </w:r>
      <w:r w:rsidR="00A464DB">
        <w:rPr>
          <w:szCs w:val="26"/>
        </w:rPr>
        <w:t>Заказчиком</w:t>
      </w:r>
      <w:r w:rsidRPr="00B04D55">
        <w:rPr>
          <w:szCs w:val="26"/>
        </w:rPr>
        <w:t xml:space="preserve"> и компаниями Группы РусГидро;</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Критерии, установленные п. 3, 4 и 6, не распространяются на кредитные организации: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numPr>
          <w:ilvl w:val="1"/>
          <w:numId w:val="30"/>
        </w:numPr>
        <w:tabs>
          <w:tab w:val="left" w:pos="1418"/>
        </w:tabs>
        <w:spacing w:before="60"/>
        <w:ind w:left="0" w:firstLine="709"/>
        <w:contextualSpacing/>
        <w:jc w:val="both"/>
        <w:rPr>
          <w:szCs w:val="26"/>
        </w:rPr>
      </w:pPr>
      <w:r w:rsidRPr="00B04D55">
        <w:rPr>
          <w:szCs w:val="26"/>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одной банковской гарантии, обеспечивающей обязательства контрагента перед </w:t>
      </w:r>
      <w:r w:rsidR="00A464DB">
        <w:rPr>
          <w:szCs w:val="26"/>
        </w:rPr>
        <w:t>Заказчиком</w:t>
      </w:r>
      <w:r w:rsidRPr="00B04D55">
        <w:rPr>
          <w:szCs w:val="26"/>
        </w:rPr>
        <w:t xml:space="preserve">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04D55">
          <w:rPr>
            <w:szCs w:val="26"/>
          </w:rPr>
          <w:t>www.cbr.ru</w:t>
        </w:r>
      </w:hyperlink>
      <w:r w:rsidRPr="00B04D55">
        <w:rPr>
          <w:szCs w:val="26"/>
        </w:rPr>
        <w:t>) по строке 000 «Расчёт собственных средств (капитала) («Базель III»)», код формы 0409123, рассчитанной в соответствии с Методикой ЦБ РФ.</w:t>
      </w:r>
    </w:p>
    <w:p w:rsidR="00B04D55" w:rsidRPr="00B04D55" w:rsidRDefault="00B04D55" w:rsidP="00B04D55">
      <w:pPr>
        <w:widowControl w:val="0"/>
        <w:numPr>
          <w:ilvl w:val="0"/>
          <w:numId w:val="30"/>
        </w:numPr>
        <w:tabs>
          <w:tab w:val="left" w:pos="1134"/>
        </w:tabs>
        <w:spacing w:before="60"/>
        <w:ind w:left="0" w:firstLine="709"/>
        <w:contextualSpacing/>
        <w:jc w:val="both"/>
        <w:rPr>
          <w:szCs w:val="26"/>
        </w:rPr>
      </w:pPr>
      <w:r w:rsidRPr="00B04D55">
        <w:rPr>
          <w:szCs w:val="26"/>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w:t>
      </w:r>
      <w:r w:rsidR="00A464DB">
        <w:rPr>
          <w:szCs w:val="26"/>
        </w:rPr>
        <w:t>Заказчиком</w:t>
      </w:r>
      <w:r w:rsidRPr="00B04D55">
        <w:rPr>
          <w:szCs w:val="26"/>
        </w:rPr>
        <w:t xml:space="preserve"> и компаниями Группы РусГидро, не должна превышать размер лимита риска, определяемого по формуле:</w:t>
      </w:r>
    </w:p>
    <w:p w:rsidR="00B04D55" w:rsidRPr="00B04D55" w:rsidRDefault="00B04D55" w:rsidP="00B04D55">
      <w:pPr>
        <w:widowControl w:val="0"/>
        <w:autoSpaceDE w:val="0"/>
        <w:autoSpaceDN w:val="0"/>
        <w:adjustRightInd w:val="0"/>
        <w:ind w:left="720"/>
        <w:contextualSpacing/>
        <w:jc w:val="center"/>
        <w:rPr>
          <w:color w:val="000000"/>
          <w:szCs w:val="26"/>
        </w:rPr>
      </w:pPr>
      <w:r w:rsidRPr="00B04D55">
        <w:rPr>
          <w:b/>
          <w:i/>
          <w:color w:val="000000"/>
          <w:szCs w:val="26"/>
          <w:lang w:val="en-US"/>
        </w:rPr>
        <w:t>Lim</w:t>
      </w:r>
      <w:r w:rsidRPr="00B04D55">
        <w:rPr>
          <w:b/>
          <w:i/>
          <w:color w:val="000000"/>
          <w:szCs w:val="26"/>
          <w:vertAlign w:val="subscript"/>
          <w:lang w:val="en-US"/>
        </w:rPr>
        <w:t>Ai</w:t>
      </w:r>
      <w:r w:rsidRPr="00B04D55">
        <w:rPr>
          <w:b/>
          <w:i/>
          <w:color w:val="000000"/>
          <w:szCs w:val="26"/>
          <w:lang w:val="en-US"/>
        </w:rPr>
        <w:t xml:space="preserve"> </w:t>
      </w:r>
      <w:r w:rsidRPr="00B04D55">
        <w:rPr>
          <w:color w:val="000000"/>
          <w:szCs w:val="26"/>
        </w:rPr>
        <w:t xml:space="preserve"> = </w:t>
      </w:r>
      <w:r w:rsidRPr="00B04D55">
        <w:rPr>
          <w:b/>
          <w:i/>
          <w:color w:val="000000"/>
          <w:szCs w:val="26"/>
        </w:rPr>
        <w:t>r</w:t>
      </w:r>
      <w:r w:rsidRPr="00B04D55">
        <w:rPr>
          <w:b/>
          <w:i/>
          <w:color w:val="000000"/>
          <w:szCs w:val="26"/>
          <w:vertAlign w:val="subscript"/>
        </w:rPr>
        <w:t>i</w:t>
      </w:r>
      <w:r w:rsidRPr="00B04D55">
        <w:rPr>
          <w:color w:val="000000"/>
          <w:szCs w:val="26"/>
        </w:rPr>
        <w:t xml:space="preserve"> ×  </w:t>
      </w: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r w:rsidRPr="00B04D55">
        <w:rPr>
          <w:color w:val="000000"/>
          <w:szCs w:val="26"/>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B04D55" w:rsidRPr="00B04D55" w:rsidTr="00862F0F">
        <w:trPr>
          <w:trHeight w:val="639"/>
        </w:trPr>
        <w:tc>
          <w:tcPr>
            <w:tcW w:w="817"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b/>
                <w:i/>
                <w:color w:val="000000"/>
                <w:szCs w:val="26"/>
              </w:rPr>
              <w:t>Lim</w:t>
            </w:r>
            <w:r w:rsidRPr="00B04D55">
              <w:rPr>
                <w:b/>
                <w:i/>
                <w:color w:val="000000"/>
                <w:szCs w:val="26"/>
                <w:vertAlign w:val="subscript"/>
                <w:lang w:val="en-US"/>
              </w:rPr>
              <w:t xml:space="preserve">Ai </w:t>
            </w:r>
          </w:p>
        </w:tc>
        <w:tc>
          <w:tcPr>
            <w:tcW w:w="284" w:type="dxa"/>
            <w:hideMark/>
          </w:tcPr>
          <w:p w:rsidR="00B04D55" w:rsidRPr="00B04D55" w:rsidRDefault="00B04D55" w:rsidP="00B04D55">
            <w:pPr>
              <w:widowControl w:val="0"/>
              <w:autoSpaceDE w:val="0"/>
              <w:autoSpaceDN w:val="0"/>
              <w:adjustRightInd w:val="0"/>
              <w:ind w:left="317" w:right="-108" w:hanging="317"/>
              <w:jc w:val="both"/>
              <w:rPr>
                <w:color w:val="000000"/>
                <w:szCs w:val="26"/>
              </w:rPr>
            </w:pPr>
            <w:r w:rsidRPr="00B04D55">
              <w:rPr>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04D55" w:rsidRPr="00B04D55" w:rsidTr="00862F0F">
        <w:trPr>
          <w:trHeight w:val="280"/>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vertAlign w:val="subscript"/>
              </w:rPr>
            </w:pPr>
            <w:r w:rsidRPr="00B04D55">
              <w:rPr>
                <w:b/>
                <w:i/>
                <w:color w:val="000000"/>
                <w:szCs w:val="26"/>
              </w:rPr>
              <w:t>С</w:t>
            </w:r>
            <w:r w:rsidRPr="00B04D55">
              <w:rPr>
                <w:b/>
                <w:i/>
                <w:color w:val="000000"/>
                <w:szCs w:val="26"/>
                <w:lang w:val="en-US"/>
              </w:rPr>
              <w:t>K</w:t>
            </w:r>
            <w:r w:rsidRPr="00B04D55">
              <w:rPr>
                <w:b/>
                <w:i/>
                <w:color w:val="000000"/>
                <w:szCs w:val="26"/>
                <w:vertAlign w:val="subscript"/>
                <w:lang w:val="en-US"/>
              </w:rPr>
              <w:t>i</w:t>
            </w:r>
          </w:p>
          <w:p w:rsidR="00B04D55" w:rsidRPr="00B04D55" w:rsidRDefault="00B04D55" w:rsidP="00B04D55">
            <w:pPr>
              <w:widowControl w:val="0"/>
              <w:autoSpaceDE w:val="0"/>
              <w:autoSpaceDN w:val="0"/>
              <w:adjustRightInd w:val="0"/>
              <w:ind w:right="-108"/>
              <w:jc w:val="both"/>
              <w:rPr>
                <w:color w:val="000000"/>
                <w:szCs w:val="26"/>
              </w:rPr>
            </w:pPr>
          </w:p>
        </w:tc>
        <w:tc>
          <w:tcPr>
            <w:tcW w:w="284" w:type="dxa"/>
            <w:hideMark/>
          </w:tcPr>
          <w:p w:rsidR="00B04D55" w:rsidRPr="00B04D55" w:rsidRDefault="00B04D55" w:rsidP="00B04D55">
            <w:pPr>
              <w:widowControl w:val="0"/>
              <w:autoSpaceDE w:val="0"/>
              <w:autoSpaceDN w:val="0"/>
              <w:adjustRightInd w:val="0"/>
              <w:ind w:right="-108"/>
              <w:jc w:val="both"/>
              <w:rPr>
                <w:color w:val="000000"/>
                <w:szCs w:val="26"/>
              </w:rPr>
            </w:pPr>
            <w:r w:rsidRPr="00B04D55">
              <w:rPr>
                <w:szCs w:val="26"/>
              </w:rPr>
              <w:t>-</w:t>
            </w:r>
            <w:r w:rsidRPr="00B04D55">
              <w:rPr>
                <w:color w:val="000000"/>
                <w:szCs w:val="26"/>
              </w:rPr>
              <w:t xml:space="preserve">  </w:t>
            </w:r>
          </w:p>
        </w:tc>
        <w:tc>
          <w:tcPr>
            <w:tcW w:w="8538" w:type="dxa"/>
            <w:hideMark/>
          </w:tcPr>
          <w:p w:rsidR="00B04D55" w:rsidRPr="00B04D55" w:rsidRDefault="00B04D55" w:rsidP="00B04D55">
            <w:pPr>
              <w:widowControl w:val="0"/>
              <w:autoSpaceDE w:val="0"/>
              <w:autoSpaceDN w:val="0"/>
              <w:adjustRightInd w:val="0"/>
              <w:ind w:left="-75" w:right="-108"/>
              <w:jc w:val="both"/>
              <w:rPr>
                <w:color w:val="000000"/>
                <w:szCs w:val="26"/>
              </w:rPr>
            </w:pPr>
            <w:r w:rsidRPr="00B04D55">
              <w:rPr>
                <w:szCs w:val="26"/>
              </w:rPr>
              <w:t xml:space="preserve">размер собственных средств (капитала) i-ой кредитной организации </w:t>
            </w:r>
            <w:r w:rsidRPr="00B04D55">
              <w:rPr>
                <w:szCs w:val="26"/>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04D55">
                <w:rPr>
                  <w:szCs w:val="26"/>
                </w:rPr>
                <w:t>www.cbr.ru</w:t>
              </w:r>
            </w:hyperlink>
            <w:r w:rsidRPr="00B04D55">
              <w:rPr>
                <w:szCs w:val="26"/>
              </w:rPr>
              <w:t>) по строке 000 «Расчет собственных средств (капитала) («Базель III»)» в соответствии с Методикой ЦБ РФ;</w:t>
            </w:r>
          </w:p>
        </w:tc>
      </w:tr>
      <w:tr w:rsidR="00B04D55" w:rsidRPr="00B04D55" w:rsidTr="00862F0F">
        <w:trPr>
          <w:trHeight w:val="993"/>
        </w:trPr>
        <w:tc>
          <w:tcPr>
            <w:tcW w:w="817" w:type="dxa"/>
            <w:hideMark/>
          </w:tcPr>
          <w:p w:rsidR="00B04D55" w:rsidRPr="00B04D55" w:rsidRDefault="00B04D55" w:rsidP="00B04D55">
            <w:pPr>
              <w:widowControl w:val="0"/>
              <w:autoSpaceDE w:val="0"/>
              <w:autoSpaceDN w:val="0"/>
              <w:adjustRightInd w:val="0"/>
              <w:ind w:right="-108"/>
              <w:jc w:val="both"/>
              <w:rPr>
                <w:b/>
                <w:i/>
                <w:color w:val="000000"/>
                <w:szCs w:val="26"/>
              </w:rPr>
            </w:pPr>
            <w:r w:rsidRPr="00B04D55">
              <w:rPr>
                <w:b/>
                <w:i/>
                <w:color w:val="000000"/>
                <w:szCs w:val="26"/>
              </w:rPr>
              <w:t>r</w:t>
            </w:r>
            <w:r w:rsidRPr="00B04D55">
              <w:rPr>
                <w:b/>
                <w:i/>
                <w:color w:val="000000"/>
                <w:szCs w:val="26"/>
                <w:vertAlign w:val="subscript"/>
              </w:rPr>
              <w:t>i</w:t>
            </w:r>
          </w:p>
        </w:tc>
        <w:tc>
          <w:tcPr>
            <w:tcW w:w="284" w:type="dxa"/>
            <w:hideMark/>
          </w:tcPr>
          <w:p w:rsidR="00B04D55" w:rsidRPr="00B04D55" w:rsidRDefault="00B04D55" w:rsidP="00B04D55">
            <w:pPr>
              <w:widowControl w:val="0"/>
              <w:autoSpaceDE w:val="0"/>
              <w:autoSpaceDN w:val="0"/>
              <w:adjustRightInd w:val="0"/>
              <w:ind w:right="-108"/>
              <w:jc w:val="both"/>
              <w:rPr>
                <w:szCs w:val="26"/>
              </w:rPr>
            </w:pPr>
            <w:r w:rsidRPr="00B04D55">
              <w:rPr>
                <w:szCs w:val="26"/>
              </w:rPr>
              <w:t>-</w:t>
            </w:r>
          </w:p>
        </w:tc>
        <w:tc>
          <w:tcPr>
            <w:tcW w:w="8538" w:type="dxa"/>
          </w:tcPr>
          <w:p w:rsidR="00B04D55" w:rsidRPr="00B04D55" w:rsidRDefault="00B04D55" w:rsidP="00B04D55">
            <w:pPr>
              <w:widowControl w:val="0"/>
              <w:tabs>
                <w:tab w:val="left" w:pos="7130"/>
              </w:tabs>
              <w:autoSpaceDE w:val="0"/>
              <w:autoSpaceDN w:val="0"/>
              <w:adjustRightInd w:val="0"/>
              <w:ind w:right="-108"/>
              <w:rPr>
                <w:szCs w:val="26"/>
              </w:rPr>
            </w:pPr>
            <w:r w:rsidRPr="00B04D55">
              <w:rPr>
                <w:szCs w:val="26"/>
              </w:rPr>
              <w:t>рейтинговый коэффициент для i-ой кредитной организации, равный:</w:t>
            </w:r>
          </w:p>
          <w:p w:rsidR="00B04D55" w:rsidRPr="00B04D55" w:rsidRDefault="00B04D55" w:rsidP="00B04D55">
            <w:pPr>
              <w:widowControl w:val="0"/>
              <w:autoSpaceDE w:val="0"/>
              <w:autoSpaceDN w:val="0"/>
              <w:adjustRightInd w:val="0"/>
              <w:ind w:firstLine="492"/>
              <w:jc w:val="both"/>
              <w:rPr>
                <w:szCs w:val="26"/>
              </w:rPr>
            </w:pPr>
            <w:r w:rsidRPr="00B04D55">
              <w:rPr>
                <w:b/>
                <w:szCs w:val="26"/>
              </w:rPr>
              <w:t>0,1</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«АА-»</w:t>
            </w:r>
            <w:r w:rsidRPr="00B04D55">
              <w:rPr>
                <w:szCs w:val="26"/>
              </w:rPr>
              <w:t xml:space="preserve"> по классификации рейтингового агентства АКРА или не ниже уровня </w:t>
            </w:r>
            <w:r w:rsidRPr="00B04D55">
              <w:rPr>
                <w:b/>
                <w:szCs w:val="26"/>
              </w:rPr>
              <w:t>«</w:t>
            </w:r>
            <w:r w:rsidRPr="00B04D55">
              <w:rPr>
                <w:b/>
                <w:szCs w:val="26"/>
                <w:lang w:val="en-US"/>
              </w:rPr>
              <w:t>ru</w:t>
            </w:r>
            <w:r w:rsidRPr="00B04D55">
              <w:rPr>
                <w:b/>
                <w:szCs w:val="26"/>
              </w:rPr>
              <w:t>А</w:t>
            </w:r>
            <w:r w:rsidRPr="00B04D55">
              <w:rPr>
                <w:b/>
                <w:szCs w:val="26"/>
                <w:lang w:val="en-US"/>
              </w:rPr>
              <w:t>A</w:t>
            </w:r>
            <w:r w:rsidRPr="00B04D55">
              <w:rPr>
                <w:b/>
                <w:szCs w:val="26"/>
              </w:rPr>
              <w:t>-»</w:t>
            </w:r>
            <w:r w:rsidRPr="00B04D55">
              <w:rPr>
                <w:szCs w:val="26"/>
              </w:rPr>
              <w:t xml:space="preserve"> по классификации рейтингового агентства Эксперт РА;</w:t>
            </w:r>
          </w:p>
          <w:p w:rsidR="00B04D55" w:rsidRPr="00B04D55" w:rsidRDefault="00B04D55" w:rsidP="00B04D55">
            <w:pPr>
              <w:widowControl w:val="0"/>
              <w:autoSpaceDE w:val="0"/>
              <w:autoSpaceDN w:val="0"/>
              <w:adjustRightInd w:val="0"/>
              <w:ind w:left="67" w:firstLine="425"/>
              <w:jc w:val="both"/>
              <w:rPr>
                <w:szCs w:val="26"/>
              </w:rPr>
            </w:pPr>
            <w:r w:rsidRPr="00B04D55">
              <w:rPr>
                <w:b/>
                <w:szCs w:val="26"/>
              </w:rPr>
              <w:t>0,05</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«А-»</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«ruA-»</w:t>
            </w:r>
            <w:r w:rsidRPr="00B04D55">
              <w:rPr>
                <w:szCs w:val="26"/>
              </w:rPr>
              <w:t xml:space="preserve"> по классификации </w:t>
            </w:r>
            <w:r w:rsidRPr="00B04D55">
              <w:rPr>
                <w:szCs w:val="26"/>
              </w:rPr>
              <w:lastRenderedPageBreak/>
              <w:t>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04D55" w:rsidRPr="00B04D55" w:rsidRDefault="00B04D55" w:rsidP="00B04D55">
            <w:pPr>
              <w:widowControl w:val="0"/>
              <w:ind w:firstLine="492"/>
              <w:jc w:val="both"/>
              <w:rPr>
                <w:szCs w:val="26"/>
              </w:rPr>
            </w:pPr>
            <w:r w:rsidRPr="00B04D55">
              <w:rPr>
                <w:b/>
                <w:szCs w:val="26"/>
              </w:rPr>
              <w:t>0,03</w:t>
            </w:r>
            <w:r w:rsidRPr="00B04D55">
              <w:rPr>
                <w:szCs w:val="26"/>
              </w:rPr>
              <w:t xml:space="preserve"> - если i-ая кредитная организация имеет национальный рейтинг кредитоспособности не ниже уровня </w:t>
            </w:r>
            <w:r w:rsidRPr="00B04D55">
              <w:rPr>
                <w:b/>
                <w:szCs w:val="26"/>
              </w:rPr>
              <w:t>«</w:t>
            </w:r>
            <w:r w:rsidRPr="00B04D55">
              <w:rPr>
                <w:b/>
                <w:szCs w:val="26"/>
                <w:lang w:val="en-US"/>
              </w:rPr>
              <w:t>BB</w:t>
            </w:r>
            <w:r w:rsidRPr="00B04D55">
              <w:rPr>
                <w:b/>
                <w:szCs w:val="26"/>
              </w:rPr>
              <w:t>+»</w:t>
            </w:r>
            <w:r w:rsidRPr="00B04D55">
              <w:rPr>
                <w:szCs w:val="26"/>
              </w:rPr>
              <w:t xml:space="preserve"> </w:t>
            </w:r>
            <w:r w:rsidRPr="00B04D55">
              <w:rPr>
                <w:szCs w:val="26"/>
              </w:rPr>
              <w:br/>
              <w:t xml:space="preserve">по классификации рейтингового агентства АКРА или не ниже уровня </w:t>
            </w:r>
            <w:r w:rsidRPr="00B04D55">
              <w:rPr>
                <w:b/>
                <w:szCs w:val="26"/>
              </w:rPr>
              <w:t>«</w:t>
            </w:r>
            <w:r w:rsidRPr="00B04D55">
              <w:rPr>
                <w:b/>
                <w:szCs w:val="26"/>
                <w:lang w:val="en-US"/>
              </w:rPr>
              <w:t>ruBB</w:t>
            </w:r>
            <w:r w:rsidRPr="00B04D55">
              <w:rPr>
                <w:b/>
                <w:szCs w:val="26"/>
              </w:rPr>
              <w:t>+»</w:t>
            </w:r>
            <w:r w:rsidRPr="00B04D55">
              <w:rPr>
                <w:szCs w:val="26"/>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9</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7697" w:rsidRPr="007C1176" w:rsidRDefault="00207697" w:rsidP="00207697">
      <w:pPr>
        <w:ind w:firstLine="709"/>
        <w:jc w:val="both"/>
      </w:pPr>
    </w:p>
    <w:p w:rsidR="00B04D55" w:rsidRPr="00B04D55" w:rsidRDefault="00B04D55" w:rsidP="00B04D55">
      <w:pPr>
        <w:jc w:val="center"/>
        <w:rPr>
          <w:b/>
          <w:szCs w:val="26"/>
        </w:rPr>
      </w:pPr>
      <w:bookmarkStart w:id="5" w:name="_Toc500935256"/>
      <w:bookmarkStart w:id="6" w:name="_Toc501966379"/>
      <w:r w:rsidRPr="00B04D55">
        <w:rPr>
          <w:b/>
          <w:szCs w:val="26"/>
        </w:rPr>
        <w:t>Условия банковской гарантии</w:t>
      </w:r>
      <w:bookmarkEnd w:id="5"/>
      <w:bookmarkEnd w:id="6"/>
    </w:p>
    <w:p w:rsidR="00B04D55" w:rsidRPr="00B04D55" w:rsidRDefault="00B04D55" w:rsidP="00B04D55">
      <w:pPr>
        <w:widowControl w:val="0"/>
        <w:jc w:val="center"/>
        <w:rPr>
          <w:szCs w:val="28"/>
        </w:rPr>
      </w:pP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обязательств по Договору</w:t>
      </w:r>
      <w:r>
        <w:rPr>
          <w:bCs/>
          <w:szCs w:val="26"/>
        </w:rPr>
        <w:t>.</w:t>
      </w:r>
    </w:p>
    <w:p w:rsidR="00B04D55" w:rsidRPr="00B04D55" w:rsidRDefault="00B04D55" w:rsidP="00B04D55">
      <w:pPr>
        <w:widowControl w:val="0"/>
        <w:tabs>
          <w:tab w:val="num" w:pos="540"/>
        </w:tabs>
        <w:ind w:firstLine="709"/>
        <w:jc w:val="both"/>
        <w:rPr>
          <w:color w:val="000000"/>
          <w:szCs w:val="26"/>
        </w:rPr>
      </w:pPr>
      <w:r w:rsidRPr="00B04D55">
        <w:rPr>
          <w:bCs/>
          <w:szCs w:val="26"/>
        </w:rPr>
        <w:t xml:space="preserve">Под банковской гарантией понимается гарантия согласованного </w:t>
      </w:r>
      <w:r>
        <w:rPr>
          <w:bCs/>
          <w:szCs w:val="26"/>
        </w:rPr>
        <w:t>Заказчиком</w:t>
      </w:r>
      <w:r w:rsidRPr="00B04D55">
        <w:rPr>
          <w:bCs/>
          <w:szCs w:val="26"/>
        </w:rPr>
        <w:t xml:space="preserve"> Банка</w:t>
      </w:r>
      <w:r w:rsidRPr="00B04D55">
        <w:rPr>
          <w:szCs w:val="26"/>
        </w:rPr>
        <w:t xml:space="preserve">, </w:t>
      </w:r>
      <w:r w:rsidRPr="00B04D55">
        <w:rPr>
          <w:bCs/>
          <w:szCs w:val="26"/>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Pr="00B04D55">
        <w:rPr>
          <w:color w:val="000000"/>
          <w:szCs w:val="26"/>
        </w:rPr>
        <w:t>;</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862F0F">
      <w:pPr>
        <w:widowControl w:val="0"/>
        <w:numPr>
          <w:ilvl w:val="0"/>
          <w:numId w:val="44"/>
        </w:numPr>
        <w:tabs>
          <w:tab w:val="left" w:pos="1134"/>
        </w:tabs>
        <w:spacing w:before="60"/>
        <w:ind w:left="0" w:firstLine="709"/>
        <w:jc w:val="both"/>
        <w:rPr>
          <w:color w:val="000000"/>
          <w:szCs w:val="26"/>
        </w:rPr>
      </w:pPr>
      <w:r w:rsidRPr="00B04D55">
        <w:rPr>
          <w:color w:val="000000"/>
          <w:szCs w:val="26"/>
        </w:rPr>
        <w:t>сумма банковской гарантии надлежащего исполнения обязательств по Дого</w:t>
      </w:r>
      <w:r>
        <w:rPr>
          <w:color w:val="000000"/>
          <w:szCs w:val="26"/>
        </w:rPr>
        <w:t xml:space="preserve">вору должна составлять не менее </w:t>
      </w:r>
      <w:r w:rsidR="00C73538">
        <w:rPr>
          <w:color w:val="000000"/>
          <w:szCs w:val="26"/>
        </w:rPr>
        <w:t>5</w:t>
      </w:r>
      <w:r w:rsidRPr="00B04D55">
        <w:rPr>
          <w:color w:val="000000"/>
          <w:szCs w:val="26"/>
        </w:rPr>
        <w:t xml:space="preserve"> (</w:t>
      </w:r>
      <w:r w:rsidR="00C73538">
        <w:rPr>
          <w:color w:val="000000"/>
          <w:szCs w:val="26"/>
        </w:rPr>
        <w:t>пяти</w:t>
      </w:r>
      <w:r w:rsidRPr="00B04D55">
        <w:rPr>
          <w:color w:val="000000"/>
          <w:szCs w:val="26"/>
        </w:rPr>
        <w:t>) процентов от цены Договора;</w:t>
      </w:r>
    </w:p>
    <w:p w:rsidR="00B04D55" w:rsidRPr="00B04D55" w:rsidRDefault="00B04D55" w:rsidP="00B04D55">
      <w:pPr>
        <w:widowControl w:val="0"/>
        <w:numPr>
          <w:ilvl w:val="0"/>
          <w:numId w:val="43"/>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или не ранее 70 (семидесяти) календарных дней с даты окончания гарантийного срока на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Pr>
          <w:bCs/>
          <w:szCs w:val="26"/>
        </w:rPr>
        <w:t>Заказчик</w:t>
      </w:r>
      <w:r w:rsidRPr="00B04D55">
        <w:rPr>
          <w:bCs/>
          <w:szCs w:val="26"/>
        </w:rPr>
        <w:t xml:space="preserve">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w:t>
      </w:r>
      <w:r>
        <w:rPr>
          <w:bCs/>
          <w:szCs w:val="26"/>
        </w:rPr>
        <w:t>Подрядчиком</w:t>
      </w:r>
      <w:r w:rsidRPr="00B04D55">
        <w:rPr>
          <w:bCs/>
          <w:szCs w:val="26"/>
        </w:rPr>
        <w:t xml:space="preserve"> нарушений, в том числе в случаях</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отказа </w:t>
      </w:r>
      <w:r>
        <w:rPr>
          <w:color w:val="000000"/>
          <w:szCs w:val="26"/>
        </w:rPr>
        <w:t>Подрядчика</w:t>
      </w:r>
      <w:r w:rsidRPr="00B04D55">
        <w:rPr>
          <w:color w:val="000000"/>
          <w:szCs w:val="26"/>
        </w:rPr>
        <w:t xml:space="preserve"> от исполнения обязательств по Договору, в том числе одностороннего отказа от Договора;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нарушения </w:t>
      </w:r>
      <w:r>
        <w:rPr>
          <w:color w:val="000000"/>
          <w:szCs w:val="26"/>
        </w:rPr>
        <w:t>Подрядчиком</w:t>
      </w:r>
      <w:r w:rsidRPr="00B04D55">
        <w:rPr>
          <w:color w:val="000000"/>
          <w:szCs w:val="26"/>
        </w:rPr>
        <w:t xml:space="preserve"> выполнения работ, установленных Календарным графиком, более чем на 60 (шестьдесят) календарных дней;</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lastRenderedPageBreak/>
        <w:t xml:space="preserve"> утраты </w:t>
      </w:r>
      <w:r w:rsidR="009C5637">
        <w:rPr>
          <w:color w:val="000000"/>
          <w:szCs w:val="26"/>
        </w:rPr>
        <w:t>Подрядчиком</w:t>
      </w:r>
      <w:r w:rsidRPr="00B04D55">
        <w:rPr>
          <w:color w:val="000000"/>
          <w:szCs w:val="26"/>
        </w:rPr>
        <w:t xml:space="preserve"> специальных разрешений (в том числе отзыв, прекращение (приостановление) действие допусков, разрешений) и / или лицензий, предоставляющих </w:t>
      </w:r>
      <w:r w:rsidR="009C5637">
        <w:rPr>
          <w:color w:val="000000"/>
          <w:szCs w:val="26"/>
        </w:rPr>
        <w:t>Подрядчику</w:t>
      </w:r>
      <w:r w:rsidRPr="00B04D55">
        <w:rPr>
          <w:color w:val="000000"/>
          <w:szCs w:val="26"/>
        </w:rPr>
        <w:t xml:space="preserve"> возможность надлежащего исполнения обязательств по Договору;</w:t>
      </w:r>
    </w:p>
    <w:p w:rsidR="00B04D55" w:rsidRPr="00B04D55" w:rsidRDefault="00B04D55" w:rsidP="00B04D55">
      <w:pPr>
        <w:widowControl w:val="0"/>
        <w:numPr>
          <w:ilvl w:val="0"/>
          <w:numId w:val="42"/>
        </w:numPr>
        <w:tabs>
          <w:tab w:val="left" w:pos="1134"/>
        </w:tabs>
        <w:spacing w:before="60"/>
        <w:ind w:left="0" w:firstLine="709"/>
        <w:jc w:val="both"/>
        <w:rPr>
          <w:bCs/>
          <w:szCs w:val="26"/>
        </w:rPr>
      </w:pPr>
      <w:r w:rsidRPr="00B04D55">
        <w:rPr>
          <w:color w:val="000000"/>
          <w:szCs w:val="26"/>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введения арбитражным судом процедуры несостоятельности (банкротства) в отношении </w:t>
      </w:r>
      <w:r w:rsidR="009C5637">
        <w:rPr>
          <w:color w:val="000000"/>
          <w:szCs w:val="26"/>
        </w:rPr>
        <w:t>Подрядчик</w:t>
      </w:r>
      <w:r w:rsidRPr="00B04D55">
        <w:rPr>
          <w:color w:val="000000"/>
          <w:szCs w:val="26"/>
        </w:rPr>
        <w:t>а;</w:t>
      </w:r>
    </w:p>
    <w:p w:rsidR="00B04D55" w:rsidRPr="00B04D55" w:rsidRDefault="00B04D55" w:rsidP="00B04D55">
      <w:pPr>
        <w:widowControl w:val="0"/>
        <w:numPr>
          <w:ilvl w:val="0"/>
          <w:numId w:val="42"/>
        </w:numPr>
        <w:tabs>
          <w:tab w:val="left" w:pos="1134"/>
        </w:tabs>
        <w:spacing w:before="60"/>
        <w:ind w:left="0" w:firstLine="709"/>
        <w:jc w:val="both"/>
        <w:rPr>
          <w:color w:val="000000"/>
          <w:szCs w:val="26"/>
        </w:rPr>
      </w:pPr>
      <w:r w:rsidRPr="00B04D55">
        <w:rPr>
          <w:color w:val="000000"/>
          <w:szCs w:val="26"/>
        </w:rPr>
        <w:t xml:space="preserve">установления в ходе исполнения Договора фактов несоответствия </w:t>
      </w:r>
      <w:r w:rsidR="009C5637">
        <w:rPr>
          <w:color w:val="000000"/>
          <w:szCs w:val="26"/>
        </w:rPr>
        <w:t>Подрядчика</w:t>
      </w:r>
      <w:r w:rsidRPr="00B04D55">
        <w:rPr>
          <w:color w:val="000000"/>
          <w:szCs w:val="26"/>
        </w:rPr>
        <w:t xml:space="preserve"> установленным документацией о закупке требованиям к участникам закупки и / или предоставления недостоверной информации о своём соответствии таким требованиям, а также недостоверности, неточности или неполноты заверений </w:t>
      </w:r>
      <w:r w:rsidR="009C5637">
        <w:rPr>
          <w:color w:val="000000"/>
          <w:szCs w:val="26"/>
        </w:rPr>
        <w:t>Подрядчика</w:t>
      </w:r>
      <w:r w:rsidRPr="00B04D55">
        <w:rPr>
          <w:color w:val="000000"/>
          <w:szCs w:val="26"/>
        </w:rPr>
        <w:t xml:space="preserve"> об обстоятельствах, указанных в Договоре, и имеющих существенное значение для его заключения и исполнения;</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color w:val="000000"/>
          <w:szCs w:val="26"/>
        </w:rPr>
        <w:t>признания Договора недействительным по причинам отсутствия необходимых</w:t>
      </w:r>
      <w:r w:rsidRPr="00B04D55">
        <w:rPr>
          <w:szCs w:val="26"/>
        </w:rPr>
        <w:t xml:space="preserve"> корпоративных одобрений у </w:t>
      </w:r>
      <w:r w:rsidR="009C5637">
        <w:rPr>
          <w:color w:val="000000"/>
          <w:szCs w:val="26"/>
        </w:rPr>
        <w:t>Подрядчика</w:t>
      </w:r>
      <w:r w:rsidRPr="00B04D55">
        <w:rPr>
          <w:szCs w:val="26"/>
        </w:rPr>
        <w:t>;</w:t>
      </w:r>
    </w:p>
    <w:p w:rsidR="00B04D55" w:rsidRPr="00B04D55" w:rsidRDefault="00B04D55" w:rsidP="00B04D55">
      <w:pPr>
        <w:widowControl w:val="0"/>
        <w:numPr>
          <w:ilvl w:val="0"/>
          <w:numId w:val="42"/>
        </w:numPr>
        <w:tabs>
          <w:tab w:val="left" w:pos="1134"/>
        </w:tabs>
        <w:spacing w:before="60"/>
        <w:ind w:left="0" w:firstLine="709"/>
        <w:jc w:val="both"/>
        <w:rPr>
          <w:szCs w:val="26"/>
        </w:rPr>
      </w:pPr>
      <w:r w:rsidRPr="00B04D55">
        <w:rPr>
          <w:szCs w:val="26"/>
        </w:rPr>
        <w:t xml:space="preserve">не предоставления </w:t>
      </w:r>
      <w:r w:rsidR="009C5637">
        <w:rPr>
          <w:color w:val="000000"/>
          <w:szCs w:val="26"/>
        </w:rPr>
        <w:t>Подрядчиком</w:t>
      </w:r>
      <w:r w:rsidRPr="00B04D55">
        <w:rPr>
          <w:szCs w:val="26"/>
        </w:rPr>
        <w:t xml:space="preserve">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её действия на новый период, в случаях если срок исполнения обязательств </w:t>
      </w:r>
      <w:r w:rsidR="009C5637">
        <w:rPr>
          <w:color w:val="000000"/>
          <w:szCs w:val="26"/>
        </w:rPr>
        <w:t>Подрядчика</w:t>
      </w:r>
      <w:r w:rsidRPr="00B04D55">
        <w:rPr>
          <w:szCs w:val="26"/>
        </w:rPr>
        <w:t xml:space="preserve"> по Договору превышает срок действия банковской гарантии либо срок исполнения обязательств продлён.</w:t>
      </w:r>
    </w:p>
    <w:p w:rsidR="00B04D55" w:rsidRPr="00B04D55" w:rsidRDefault="00B04D55" w:rsidP="00B04D55">
      <w:pPr>
        <w:widowControl w:val="0"/>
        <w:ind w:firstLine="709"/>
        <w:jc w:val="both"/>
        <w:rPr>
          <w:color w:val="000000"/>
          <w:szCs w:val="26"/>
        </w:rPr>
      </w:pPr>
      <w:r w:rsidRPr="00B04D55">
        <w:rPr>
          <w:color w:val="000000"/>
          <w:szCs w:val="26"/>
        </w:rPr>
        <w:t xml:space="preserve">Вместе с требованием о предъявлении суммы обеспечения к оплате </w:t>
      </w:r>
      <w:r w:rsidR="009C5637">
        <w:rPr>
          <w:color w:val="000000"/>
          <w:szCs w:val="26"/>
        </w:rPr>
        <w:t>Заказчик</w:t>
      </w:r>
      <w:r w:rsidRPr="00B04D55">
        <w:rPr>
          <w:color w:val="000000"/>
          <w:szCs w:val="26"/>
        </w:rPr>
        <w:t xml:space="preserve">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Платёж по банковской гарантии осуществляется Банком-Гарантом в течение 10 (десяти) рабочих дней после обращения бенефициара (</w:t>
      </w:r>
      <w:r w:rsidR="009C5637">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B04D55" w:rsidRPr="00B04D55" w:rsidRDefault="00B04D55" w:rsidP="00B04D55">
      <w:pPr>
        <w:widowControl w:val="0"/>
        <w:ind w:firstLine="709"/>
        <w:jc w:val="both"/>
        <w:rPr>
          <w:szCs w:val="26"/>
        </w:rPr>
      </w:pPr>
      <w:r w:rsidRPr="00B04D55">
        <w:rPr>
          <w:szCs w:val="26"/>
        </w:rPr>
        <w:t>Банковская гарантия не должна содержать условий или требований, противоречащих изложенному или делающих изложенное неисполнимым.</w:t>
      </w:r>
    </w:p>
    <w:p w:rsidR="00B04D55" w:rsidRPr="00B04D55" w:rsidRDefault="00B04D55" w:rsidP="00B04D55">
      <w:pPr>
        <w:widowControl w:val="0"/>
        <w:numPr>
          <w:ilvl w:val="0"/>
          <w:numId w:val="45"/>
        </w:numPr>
        <w:spacing w:before="60"/>
        <w:ind w:left="0" w:firstLine="709"/>
        <w:jc w:val="both"/>
        <w:rPr>
          <w:bCs/>
          <w:szCs w:val="26"/>
        </w:rPr>
      </w:pPr>
      <w:r w:rsidRPr="00B04D55">
        <w:rPr>
          <w:bCs/>
          <w:szCs w:val="26"/>
        </w:rPr>
        <w:t>Условия банковской гарантии надлежащего исполнения гарантийных обязательств.</w:t>
      </w:r>
    </w:p>
    <w:p w:rsidR="00B04D55" w:rsidRPr="00B04D55" w:rsidRDefault="00B04D55" w:rsidP="00B04D55">
      <w:pPr>
        <w:widowControl w:val="0"/>
        <w:tabs>
          <w:tab w:val="num" w:pos="540"/>
        </w:tabs>
        <w:ind w:firstLine="709"/>
        <w:jc w:val="both"/>
        <w:rPr>
          <w:color w:val="000000"/>
          <w:szCs w:val="26"/>
        </w:rPr>
      </w:pPr>
      <w:r w:rsidRPr="00B04D55">
        <w:rPr>
          <w:bCs/>
          <w:szCs w:val="26"/>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банковская гарантия должна быть безотзывной и безусловной (гарантия по первому требованию);</w:t>
      </w:r>
    </w:p>
    <w:p w:rsidR="00B04D55" w:rsidRPr="00B04D55" w:rsidRDefault="002C2F92"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 xml:space="preserve">бенефициар по банковской гарантии - </w:t>
      </w:r>
      <w:r>
        <w:rPr>
          <w:color w:val="000000"/>
          <w:szCs w:val="26"/>
        </w:rPr>
        <w:t>Заказчик</w:t>
      </w:r>
      <w:r w:rsidRPr="00B04D55">
        <w:rPr>
          <w:color w:val="000000"/>
          <w:szCs w:val="26"/>
        </w:rPr>
        <w:t xml:space="preserve">, принципал – </w:t>
      </w:r>
      <w:r>
        <w:rPr>
          <w:color w:val="000000"/>
          <w:szCs w:val="26"/>
        </w:rPr>
        <w:t>Подрядчик</w:t>
      </w:r>
      <w:r w:rsidR="00B04D55" w:rsidRPr="00B04D55">
        <w:rPr>
          <w:color w:val="000000"/>
          <w:szCs w:val="26"/>
        </w:rPr>
        <w:t>;</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выражена в валюте расчетов по Договору;</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сумма банковской гарантии на гарантийный период – не менее 5 (пяти) процентов от цены Договора;</w:t>
      </w:r>
    </w:p>
    <w:p w:rsidR="00B04D55" w:rsidRPr="00B04D55" w:rsidRDefault="00B04D55" w:rsidP="00B04D55">
      <w:pPr>
        <w:widowControl w:val="0"/>
        <w:numPr>
          <w:ilvl w:val="0"/>
          <w:numId w:val="18"/>
        </w:numPr>
        <w:tabs>
          <w:tab w:val="left" w:pos="1134"/>
        </w:tabs>
        <w:spacing w:before="60"/>
        <w:ind w:left="0" w:firstLine="709"/>
        <w:jc w:val="both"/>
        <w:rPr>
          <w:color w:val="000000"/>
          <w:szCs w:val="26"/>
        </w:rPr>
      </w:pPr>
      <w:r w:rsidRPr="00B04D55">
        <w:rPr>
          <w:color w:val="000000"/>
          <w:szCs w:val="26"/>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B04D55" w:rsidRPr="00B04D55" w:rsidRDefault="00B04D55" w:rsidP="00B04D55">
      <w:pPr>
        <w:widowControl w:val="0"/>
        <w:ind w:firstLine="709"/>
        <w:jc w:val="both"/>
        <w:rPr>
          <w:szCs w:val="26"/>
        </w:rPr>
      </w:pPr>
      <w:r w:rsidRPr="00B04D55">
        <w:rPr>
          <w:bCs/>
          <w:szCs w:val="26"/>
        </w:rPr>
        <w:t xml:space="preserve">Банковская гарантия должна предусматривать, что для истребования суммы обеспечения </w:t>
      </w:r>
      <w:r w:rsidR="002C2F92">
        <w:rPr>
          <w:bCs/>
          <w:szCs w:val="26"/>
        </w:rPr>
        <w:t>Заказчик</w:t>
      </w:r>
      <w:r w:rsidRPr="00B04D55">
        <w:rPr>
          <w:bCs/>
          <w:szCs w:val="26"/>
        </w:rPr>
        <w:t xml:space="preserve"> направляет Банку-Гаранту только пись</w:t>
      </w:r>
      <w:r w:rsidRPr="00B04D55">
        <w:rPr>
          <w:bCs/>
          <w:szCs w:val="26"/>
        </w:rPr>
        <w:lastRenderedPageBreak/>
        <w:t xml:space="preserve">менное требование о предъявлении суммы обеспечения к оплате, как полностью, так и частично, с указанием на существо допущенных </w:t>
      </w:r>
      <w:r w:rsidR="002C2F92">
        <w:rPr>
          <w:bCs/>
          <w:szCs w:val="26"/>
        </w:rPr>
        <w:t>Подрядчиком</w:t>
      </w:r>
      <w:r w:rsidRPr="00B04D55">
        <w:rPr>
          <w:bCs/>
          <w:szCs w:val="26"/>
        </w:rPr>
        <w:t xml:space="preserve"> нарушений. </w:t>
      </w:r>
    </w:p>
    <w:p w:rsidR="00B04D55" w:rsidRPr="00B04D55" w:rsidRDefault="00B04D55" w:rsidP="00B04D55">
      <w:pPr>
        <w:widowControl w:val="0"/>
        <w:ind w:firstLine="709"/>
        <w:jc w:val="both"/>
        <w:rPr>
          <w:color w:val="000000"/>
          <w:szCs w:val="26"/>
        </w:rPr>
      </w:pPr>
      <w:r w:rsidRPr="00B04D55">
        <w:rPr>
          <w:color w:val="000000"/>
          <w:szCs w:val="26"/>
        </w:rPr>
        <w:t>Вместе с требованием о предъявлении суммы обеспечения к оплате Общество направляет Банку-Гаранту копию банковской гарантии.</w:t>
      </w:r>
    </w:p>
    <w:p w:rsidR="00B04D55" w:rsidRPr="00B04D55" w:rsidRDefault="00B04D55" w:rsidP="00B04D55">
      <w:pPr>
        <w:widowControl w:val="0"/>
        <w:ind w:firstLine="709"/>
        <w:jc w:val="both"/>
        <w:rPr>
          <w:szCs w:val="26"/>
        </w:rPr>
      </w:pPr>
      <w:r w:rsidRPr="00B04D55">
        <w:rPr>
          <w:szCs w:val="26"/>
        </w:rPr>
        <w:t>Платеж по банковской гарантии осуществляется Банком-Гарантом в течение 10 (десяти) рабочих дней после обращения бенефициара (</w:t>
      </w:r>
      <w:r w:rsidR="002C2F92">
        <w:rPr>
          <w:szCs w:val="26"/>
        </w:rPr>
        <w:t>Заказчика</w:t>
      </w:r>
      <w:r w:rsidRPr="00B04D55">
        <w:rPr>
          <w:szCs w:val="26"/>
        </w:rPr>
        <w:t>).</w:t>
      </w:r>
    </w:p>
    <w:p w:rsidR="00B04D55" w:rsidRPr="00B04D55" w:rsidRDefault="00B04D55" w:rsidP="00B04D55">
      <w:pPr>
        <w:widowControl w:val="0"/>
        <w:ind w:firstLine="709"/>
        <w:jc w:val="both"/>
        <w:rPr>
          <w:szCs w:val="26"/>
        </w:rPr>
      </w:pPr>
      <w:r w:rsidRPr="00B04D55">
        <w:rPr>
          <w:szCs w:val="26"/>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B04D55" w:rsidRPr="00B04D55" w:rsidRDefault="00B04D55" w:rsidP="00B04D55">
      <w:pPr>
        <w:widowControl w:val="0"/>
        <w:ind w:firstLine="709"/>
        <w:jc w:val="both"/>
        <w:rPr>
          <w:bCs/>
          <w:szCs w:val="26"/>
        </w:rPr>
      </w:pPr>
      <w:r w:rsidRPr="00B04D55">
        <w:rPr>
          <w:bCs/>
          <w:szCs w:val="26"/>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623E3" w:rsidRPr="00B04D55" w:rsidRDefault="00B04D55" w:rsidP="002C2F92">
      <w:pPr>
        <w:ind w:firstLine="709"/>
        <w:rPr>
          <w:sz w:val="22"/>
        </w:rPr>
      </w:pPr>
      <w:r w:rsidRPr="00B04D55">
        <w:rPr>
          <w:szCs w:val="26"/>
        </w:rPr>
        <w:t xml:space="preserve">Банковская гарантия не должна содержать условий или требований, противоречащих </w:t>
      </w:r>
      <w:r w:rsidR="002C2F92">
        <w:rPr>
          <w:szCs w:val="26"/>
        </w:rPr>
        <w:t>и</w:t>
      </w:r>
      <w:r w:rsidRPr="00B04D55">
        <w:rPr>
          <w:szCs w:val="26"/>
        </w:rPr>
        <w:t>зложенному или делающих изложенное неисполнимым.</w:t>
      </w:r>
    </w:p>
    <w:sectPr w:rsidR="008623E3" w:rsidRPr="00B04D55"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F0" w:rsidRDefault="00163FF0">
      <w:r>
        <w:separator/>
      </w:r>
    </w:p>
  </w:endnote>
  <w:endnote w:type="continuationSeparator" w:id="0">
    <w:p w:rsidR="00163FF0" w:rsidRDefault="00163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0F" w:rsidRDefault="00862F0F">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F0" w:rsidRDefault="00163FF0">
      <w:r>
        <w:separator/>
      </w:r>
    </w:p>
  </w:footnote>
  <w:footnote w:type="continuationSeparator" w:id="0">
    <w:p w:rsidR="00163FF0" w:rsidRDefault="00163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7680B20E"/>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4"/>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5"/>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2"/>
  </w:num>
  <w:num w:numId="24">
    <w:abstractNumId w:val="24"/>
  </w:num>
  <w:num w:numId="25">
    <w:abstractNumId w:val="12"/>
  </w:num>
  <w:num w:numId="26">
    <w:abstractNumId w:val="11"/>
  </w:num>
  <w:num w:numId="27">
    <w:abstractNumId w:val="43"/>
  </w:num>
  <w:num w:numId="28">
    <w:abstractNumId w:val="35"/>
  </w:num>
  <w:num w:numId="29">
    <w:abstractNumId w:val="20"/>
  </w:num>
  <w:num w:numId="30">
    <w:abstractNumId w:val="4"/>
  </w:num>
  <w:num w:numId="31">
    <w:abstractNumId w:val="29"/>
  </w:num>
  <w:num w:numId="32">
    <w:abstractNumId w:val="41"/>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C34"/>
    <w:rsid w:val="00017EB3"/>
    <w:rsid w:val="00022C5C"/>
    <w:rsid w:val="00022CD6"/>
    <w:rsid w:val="00024BD9"/>
    <w:rsid w:val="00025DD4"/>
    <w:rsid w:val="00025E02"/>
    <w:rsid w:val="00025E3B"/>
    <w:rsid w:val="00026ED2"/>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4D9E"/>
    <w:rsid w:val="00151F85"/>
    <w:rsid w:val="00153884"/>
    <w:rsid w:val="00154A77"/>
    <w:rsid w:val="00156C18"/>
    <w:rsid w:val="00163FF0"/>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93257"/>
    <w:rsid w:val="001A2CC5"/>
    <w:rsid w:val="001A3A36"/>
    <w:rsid w:val="001A741E"/>
    <w:rsid w:val="001A7B7C"/>
    <w:rsid w:val="001B01CE"/>
    <w:rsid w:val="001B2EE7"/>
    <w:rsid w:val="001B6992"/>
    <w:rsid w:val="001C0B0B"/>
    <w:rsid w:val="001C25E1"/>
    <w:rsid w:val="001C29EB"/>
    <w:rsid w:val="001C3044"/>
    <w:rsid w:val="001C3226"/>
    <w:rsid w:val="001C36CB"/>
    <w:rsid w:val="001C46B7"/>
    <w:rsid w:val="001C54E0"/>
    <w:rsid w:val="001C5E96"/>
    <w:rsid w:val="001C6B47"/>
    <w:rsid w:val="001C79C3"/>
    <w:rsid w:val="001D09CA"/>
    <w:rsid w:val="001D0E62"/>
    <w:rsid w:val="001D3B10"/>
    <w:rsid w:val="001D7CAD"/>
    <w:rsid w:val="001E077C"/>
    <w:rsid w:val="001E11EB"/>
    <w:rsid w:val="001E2B68"/>
    <w:rsid w:val="001E4B53"/>
    <w:rsid w:val="001E6A59"/>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33B"/>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7408A"/>
    <w:rsid w:val="00480C04"/>
    <w:rsid w:val="0048230C"/>
    <w:rsid w:val="004835FC"/>
    <w:rsid w:val="00483E5A"/>
    <w:rsid w:val="00490594"/>
    <w:rsid w:val="00491489"/>
    <w:rsid w:val="004922A0"/>
    <w:rsid w:val="0049342C"/>
    <w:rsid w:val="004A3BD8"/>
    <w:rsid w:val="004A4546"/>
    <w:rsid w:val="004A534F"/>
    <w:rsid w:val="004A6CD3"/>
    <w:rsid w:val="004A759E"/>
    <w:rsid w:val="004B35E7"/>
    <w:rsid w:val="004B4F1C"/>
    <w:rsid w:val="004B5BD2"/>
    <w:rsid w:val="004C2EFF"/>
    <w:rsid w:val="004C3F32"/>
    <w:rsid w:val="004D1301"/>
    <w:rsid w:val="004D395C"/>
    <w:rsid w:val="004D5860"/>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301D"/>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06BB"/>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4C13"/>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4F57"/>
    <w:rsid w:val="00AD608F"/>
    <w:rsid w:val="00AD742D"/>
    <w:rsid w:val="00AE0C62"/>
    <w:rsid w:val="00AE1191"/>
    <w:rsid w:val="00AE2023"/>
    <w:rsid w:val="00AE4480"/>
    <w:rsid w:val="00AE47CC"/>
    <w:rsid w:val="00AE6216"/>
    <w:rsid w:val="00AE777D"/>
    <w:rsid w:val="00AE78A6"/>
    <w:rsid w:val="00AF2116"/>
    <w:rsid w:val="00AF4F70"/>
    <w:rsid w:val="00AF758E"/>
    <w:rsid w:val="00B021AF"/>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37DC0"/>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163"/>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59B6"/>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44"/>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288"/>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41CB"/>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860EC"/>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58D"/>
    <w:rsid w:val="00DE3FE1"/>
    <w:rsid w:val="00DE6713"/>
    <w:rsid w:val="00DF3344"/>
    <w:rsid w:val="00DF503F"/>
    <w:rsid w:val="00DF7592"/>
    <w:rsid w:val="00DF7980"/>
    <w:rsid w:val="00E0007D"/>
    <w:rsid w:val="00E015CE"/>
    <w:rsid w:val="00E0299B"/>
    <w:rsid w:val="00E045CA"/>
    <w:rsid w:val="00E050F2"/>
    <w:rsid w:val="00E052D0"/>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5785"/>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4B11"/>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50C3"/>
    <w:rsid w:val="00EE759E"/>
    <w:rsid w:val="00EF4B64"/>
    <w:rsid w:val="00EF50A0"/>
    <w:rsid w:val="00F01B43"/>
    <w:rsid w:val="00F037D8"/>
    <w:rsid w:val="00F0488E"/>
    <w:rsid w:val="00F04EDB"/>
    <w:rsid w:val="00F0570C"/>
    <w:rsid w:val="00F0767E"/>
    <w:rsid w:val="00F112E0"/>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23FAA-2E95-4BD2-886A-BEF78AA92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15179</Words>
  <Characters>86525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101501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2014-02-06T00:05:00Z</cp:lastPrinted>
  <dcterms:created xsi:type="dcterms:W3CDTF">2020-10-05T05:09:00Z</dcterms:created>
  <dcterms:modified xsi:type="dcterms:W3CDTF">2020-10-05T05:09:00Z</dcterms:modified>
</cp:coreProperties>
</file>