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D03833" w:rsidRPr="00D03833">
        <w:rPr>
          <w:sz w:val="24"/>
          <w:szCs w:val="24"/>
          <w:lang w:eastAsia="en-US"/>
        </w:rPr>
        <w:t>44901-ЭКСП ПРОД-2021-ДРСК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EA3731">
        <w:rPr>
          <w:bCs/>
          <w:sz w:val="24"/>
          <w:szCs w:val="24"/>
        </w:rPr>
        <w:t>предохранители и запчасти к ним</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AC74E9">
        <w:rPr>
          <w:bCs/>
          <w:sz w:val="24"/>
          <w:szCs w:val="24"/>
        </w:rPr>
        <w:t>№ 1, № 2, № 3, № 4, № 5</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0C02C7" w:rsidRPr="000C02C7">
        <w:rPr>
          <w:sz w:val="24"/>
          <w:szCs w:val="24"/>
        </w:rPr>
        <w:t xml:space="preserve">в течение </w:t>
      </w:r>
      <w:r w:rsidR="00AC74E9">
        <w:rPr>
          <w:sz w:val="24"/>
          <w:szCs w:val="24"/>
        </w:rPr>
        <w:t>9</w:t>
      </w:r>
      <w:r w:rsidR="000C02C7" w:rsidRPr="000C02C7">
        <w:rPr>
          <w:sz w:val="24"/>
          <w:szCs w:val="24"/>
        </w:rPr>
        <w:t>0 календарных дней с даты подписания договора поставки, но не ранее 31.12.2020г.</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w:t>
      </w:r>
      <w:r w:rsidR="000C02C7">
        <w:rPr>
          <w:bCs/>
          <w:sz w:val="24"/>
          <w:szCs w:val="24"/>
        </w:rPr>
        <w:t>ю</w:t>
      </w:r>
      <w:r w:rsidRPr="007C5B48">
        <w:rPr>
          <w:bCs/>
          <w:sz w:val="24"/>
          <w:szCs w:val="24"/>
        </w:rPr>
        <w:t>тся филиал</w:t>
      </w:r>
      <w:r w:rsidR="000C02C7">
        <w:rPr>
          <w:bCs/>
          <w:sz w:val="24"/>
          <w:szCs w:val="24"/>
        </w:rPr>
        <w:t>ы</w:t>
      </w:r>
      <w:r w:rsidRPr="007C5B48">
        <w:rPr>
          <w:color w:val="000000"/>
          <w:sz w:val="22"/>
          <w:szCs w:val="22"/>
        </w:rPr>
        <w:t xml:space="preserve"> АО «ДРСК» - </w:t>
      </w:r>
      <w:r w:rsidR="000C02C7" w:rsidRPr="008A54B6">
        <w:rPr>
          <w:color w:val="000000"/>
          <w:sz w:val="24"/>
          <w:szCs w:val="24"/>
        </w:rPr>
        <w:t>«Амурские электрические сети», «Приморские электрические сети», «Хабаровские электрические сети»</w:t>
      </w:r>
      <w:r w:rsidR="00B6480B">
        <w:rPr>
          <w:color w:val="000000"/>
          <w:sz w:val="24"/>
          <w:szCs w:val="24"/>
        </w:rPr>
        <w:t xml:space="preserve"> и </w:t>
      </w:r>
      <w:r w:rsidR="000C02C7" w:rsidRPr="008A54B6">
        <w:rPr>
          <w:color w:val="000000"/>
          <w:sz w:val="24"/>
          <w:szCs w:val="24"/>
        </w:rPr>
        <w:t>«Электрические сети ЕАО»</w:t>
      </w:r>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 xml:space="preserve">в течение </w:t>
      </w:r>
      <w:r w:rsidR="00F81334" w:rsidRPr="00B36852">
        <w:rPr>
          <w:sz w:val="24"/>
          <w:szCs w:val="22"/>
          <w:highlight w:val="lightGray"/>
        </w:rPr>
        <w:t>30 (тридцати) календарных дней</w:t>
      </w:r>
      <w:r w:rsidR="00F81334" w:rsidRPr="00A97F55">
        <w:rPr>
          <w:rStyle w:val="afc"/>
          <w:sz w:val="24"/>
          <w:szCs w:val="22"/>
        </w:rPr>
        <w:footnoteReference w:id="1"/>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lastRenderedPageBreak/>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CD47AE"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6005EA" w:rsidRPr="006E50D5">
        <w:rPr>
          <w:bCs/>
          <w:sz w:val="24"/>
          <w:szCs w:val="24"/>
        </w:rPr>
        <w:t xml:space="preserve">Товара Поставщик </w:t>
      </w:r>
      <w:r w:rsidR="00863EBD" w:rsidRPr="006E50D5">
        <w:rPr>
          <w:bCs/>
          <w:sz w:val="24"/>
          <w:szCs w:val="24"/>
        </w:rPr>
        <w:t xml:space="preserve">обязан передать </w:t>
      </w:r>
      <w:r w:rsidR="006005EA" w:rsidRPr="006E50D5">
        <w:rPr>
          <w:bCs/>
          <w:sz w:val="24"/>
          <w:szCs w:val="24"/>
        </w:rPr>
        <w:t>Покупателю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D37BA1">
        <w:rPr>
          <w:sz w:val="24"/>
          <w:szCs w:val="24"/>
        </w:rPr>
        <w:t xml:space="preserve"> или УПД</w:t>
      </w:r>
      <w:r w:rsidRPr="006E50D5">
        <w:rPr>
          <w:sz w:val="24"/>
          <w:szCs w:val="24"/>
        </w:rPr>
        <w:t>.</w:t>
      </w:r>
      <w:bookmarkEnd w:id="2"/>
      <w:r w:rsidRPr="006E50D5">
        <w:rPr>
          <w:sz w:val="24"/>
          <w:szCs w:val="24"/>
        </w:rPr>
        <w:t xml:space="preserve"> </w:t>
      </w:r>
    </w:p>
    <w:p w:rsidR="00863EBD" w:rsidRPr="006E50D5" w:rsidRDefault="00CD47AE" w:rsidP="005154EE">
      <w:pPr>
        <w:pStyle w:val="af2"/>
        <w:widowControl/>
        <w:numPr>
          <w:ilvl w:val="1"/>
          <w:numId w:val="1"/>
        </w:numPr>
        <w:shd w:val="clear" w:color="auto" w:fill="FFFFFF"/>
        <w:tabs>
          <w:tab w:val="left" w:pos="1418"/>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CD47AE" w:rsidP="00B418A9">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E90250" w:rsidRPr="00E90250">
        <w:rPr>
          <w:sz w:val="24"/>
          <w:szCs w:val="24"/>
        </w:rPr>
        <w:t xml:space="preserve">Товар в указанный срок, Покупатель вправе </w:t>
      </w:r>
      <w:r w:rsidR="00BF7FF2">
        <w:rPr>
          <w:sz w:val="24"/>
          <w:szCs w:val="24"/>
        </w:rPr>
        <w:t xml:space="preserve">самостоятельно </w:t>
      </w:r>
      <w:r w:rsidR="00E90250" w:rsidRPr="00E90250">
        <w:rPr>
          <w:sz w:val="24"/>
          <w:szCs w:val="24"/>
        </w:rPr>
        <w:t xml:space="preserve">возвратить </w:t>
      </w:r>
      <w:r w:rsidR="00BF7FF2">
        <w:rPr>
          <w:sz w:val="24"/>
          <w:szCs w:val="24"/>
        </w:rPr>
        <w:t>Товар</w:t>
      </w:r>
      <w:r w:rsidR="00E90250" w:rsidRPr="00E90250">
        <w:rPr>
          <w:sz w:val="24"/>
          <w:szCs w:val="24"/>
        </w:rPr>
        <w:t xml:space="preserve"> Поставщику. Расходы, понесенные Покупателем в связи с возвратом</w:t>
      </w:r>
      <w:r w:rsidR="00E90250">
        <w:rPr>
          <w:sz w:val="24"/>
          <w:szCs w:val="24"/>
        </w:rPr>
        <w:t xml:space="preserve"> Товара</w:t>
      </w:r>
      <w:r w:rsidR="00E90250"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 xml:space="preserve">Поставщик обязан не более чем за 5 рабочих дней до даты начала отгрузки </w:t>
      </w:r>
      <w:r w:rsidRPr="00F81334">
        <w:rPr>
          <w:sz w:val="24"/>
          <w:szCs w:val="24"/>
        </w:rPr>
        <w:lastRenderedPageBreak/>
        <w:t>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8D217A">
        <w:rPr>
          <w:sz w:val="24"/>
          <w:szCs w:val="24"/>
        </w:rPr>
        <w:t>3</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lastRenderedPageBreak/>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w:t>
      </w:r>
      <w:r w:rsidRPr="006E50D5">
        <w:rPr>
          <w:bCs/>
          <w:sz w:val="24"/>
          <w:szCs w:val="24"/>
        </w:rPr>
        <w:lastRenderedPageBreak/>
        <w:t xml:space="preserve">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1252F">
        <w:rPr>
          <w:bCs/>
          <w:sz w:val="24"/>
          <w:szCs w:val="24"/>
        </w:rPr>
        <w:t>2</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A7B1B">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w:t>
      </w:r>
      <w:r w:rsidRPr="006E50D5">
        <w:rPr>
          <w:bCs/>
          <w:sz w:val="24"/>
          <w:szCs w:val="24"/>
        </w:rPr>
        <w:lastRenderedPageBreak/>
        <w:t>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lastRenderedPageBreak/>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lastRenderedPageBreak/>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lastRenderedPageBreak/>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3627E2">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 xml:space="preserve">и № </w:t>
      </w:r>
      <w:proofErr w:type="gramStart"/>
      <w:r w:rsidR="0076266B">
        <w:rPr>
          <w:rFonts w:eastAsia="Calibri"/>
          <w:sz w:val="24"/>
          <w:szCs w:val="24"/>
          <w:lang w:eastAsia="en-US"/>
        </w:rPr>
        <w:t>1….</w:t>
      </w:r>
      <w:proofErr w:type="gramEnd"/>
      <w:r w:rsidR="0076266B">
        <w:rPr>
          <w:rFonts w:eastAsia="Calibri"/>
          <w:sz w:val="24"/>
          <w:szCs w:val="24"/>
          <w:lang w:eastAsia="en-US"/>
        </w:rPr>
        <w:t>.№</w:t>
      </w:r>
      <w:r w:rsidR="00EF7098">
        <w:rPr>
          <w:rFonts w:eastAsia="Calibri"/>
          <w:sz w:val="24"/>
          <w:szCs w:val="24"/>
          <w:lang w:eastAsia="en-US"/>
        </w:rPr>
        <w:t xml:space="preserve"> </w:t>
      </w:r>
      <w:r w:rsidR="009E1698">
        <w:rPr>
          <w:rFonts w:eastAsia="Calibri"/>
          <w:sz w:val="24"/>
          <w:szCs w:val="24"/>
          <w:lang w:eastAsia="en-US"/>
        </w:rPr>
        <w:t>5</w:t>
      </w:r>
      <w:r w:rsidR="00DA4478" w:rsidRPr="00F32716">
        <w:rPr>
          <w:rFonts w:eastAsia="Calibri"/>
          <w:sz w:val="24"/>
          <w:szCs w:val="24"/>
          <w:lang w:eastAsia="en-US"/>
        </w:rPr>
        <w:t>.</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76266B" w:rsidRPr="00D40415">
        <w:rPr>
          <w:bCs/>
          <w:sz w:val="24"/>
          <w:szCs w:val="24"/>
        </w:rPr>
        <w:t xml:space="preserve">Размер ответственности Поставщика за нарушения пропускного и </w:t>
      </w:r>
      <w:proofErr w:type="spellStart"/>
      <w:r w:rsidR="0076266B" w:rsidRPr="00D40415">
        <w:rPr>
          <w:bCs/>
          <w:sz w:val="24"/>
          <w:szCs w:val="24"/>
        </w:rPr>
        <w:t>внутриобъектового</w:t>
      </w:r>
      <w:proofErr w:type="spellEnd"/>
      <w:r w:rsidR="0076266B" w:rsidRPr="00D40415">
        <w:rPr>
          <w:bCs/>
          <w:sz w:val="24"/>
          <w:szCs w:val="24"/>
        </w:rPr>
        <w:t xml:space="preserve"> режима, требований охраны труда, пожарной и промышленной </w:t>
      </w:r>
      <w:r w:rsidR="0076266B" w:rsidRPr="00D40415">
        <w:rPr>
          <w:bCs/>
          <w:sz w:val="24"/>
          <w:szCs w:val="24"/>
        </w:rPr>
        <w:lastRenderedPageBreak/>
        <w:t>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1"/>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xml:space="preserve">№ </w:t>
      </w:r>
      <w:proofErr w:type="gramStart"/>
      <w:r w:rsidR="007E6F37">
        <w:rPr>
          <w:b/>
          <w:sz w:val="24"/>
          <w:szCs w:val="24"/>
        </w:rPr>
        <w:t>1….</w:t>
      </w:r>
      <w:proofErr w:type="gramEnd"/>
      <w:r w:rsidR="007E6F37">
        <w:rPr>
          <w:b/>
          <w:sz w:val="24"/>
          <w:szCs w:val="24"/>
        </w:rPr>
        <w:t xml:space="preserve">№ </w:t>
      </w:r>
      <w:r w:rsidR="00EF7098">
        <w:rPr>
          <w:b/>
          <w:sz w:val="24"/>
          <w:szCs w:val="24"/>
        </w:rPr>
        <w:t>5</w:t>
      </w:r>
      <w:bookmarkStart w:id="12" w:name="_GoBack"/>
      <w:bookmarkEnd w:id="12"/>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8D217A">
        <w:rPr>
          <w:sz w:val="22"/>
          <w:szCs w:val="22"/>
        </w:rPr>
        <w:t>2</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8D217A">
              <w:rPr>
                <w:color w:val="000000"/>
                <w:sz w:val="24"/>
                <w:szCs w:val="24"/>
              </w:rPr>
              <w:t>3</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00" w:rsidRDefault="006B5500">
      <w:r>
        <w:separator/>
      </w:r>
    </w:p>
  </w:endnote>
  <w:endnote w:type="continuationSeparator" w:id="0">
    <w:p w:rsidR="006B5500" w:rsidRDefault="006B5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6B5500"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00" w:rsidRDefault="006B5500">
      <w:r>
        <w:separator/>
      </w:r>
    </w:p>
  </w:footnote>
  <w:footnote w:type="continuationSeparator" w:id="0">
    <w:p w:rsidR="006B5500" w:rsidRDefault="006B5500">
      <w:r>
        <w:continuationSeparator/>
      </w:r>
    </w:p>
  </w:footnote>
  <w:footnote w:id="1">
    <w:p w:rsidR="00F81334" w:rsidRPr="00D72EC8" w:rsidRDefault="00F81334" w:rsidP="00F81334">
      <w:pPr>
        <w:pStyle w:val="afa"/>
        <w:jc w:val="both"/>
      </w:pPr>
      <w:r w:rsidRPr="00D72EC8">
        <w:rPr>
          <w:rStyle w:val="afc"/>
        </w:rPr>
        <w:footnoteRef/>
      </w:r>
      <w:r w:rsidRPr="00D72EC8">
        <w:t xml:space="preserve"> </w:t>
      </w:r>
      <w:r w:rsidR="001D6AF2">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1EB8"/>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5500"/>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698"/>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C74E9"/>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80B"/>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47AE"/>
    <w:rsid w:val="00CD72DF"/>
    <w:rsid w:val="00CE158E"/>
    <w:rsid w:val="00CE1E9F"/>
    <w:rsid w:val="00CE3D11"/>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3833"/>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731"/>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098"/>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37D939"/>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8AC9-63B8-41FF-AE6A-F630429E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7970</Words>
  <Characters>45431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53295</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70</cp:revision>
  <cp:lastPrinted>2020-03-18T06:36:00Z</cp:lastPrinted>
  <dcterms:created xsi:type="dcterms:W3CDTF">2020-03-11T04:15:00Z</dcterms:created>
  <dcterms:modified xsi:type="dcterms:W3CDTF">2020-09-08T05:48:00Z</dcterms:modified>
</cp:coreProperties>
</file>