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201AE486"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w:t>
      </w:r>
      <w:r w:rsidRPr="00241536">
        <w:rPr>
          <w:sz w:val="24"/>
        </w:rPr>
        <w:t xml:space="preserve">совместно в дальнейшем именуемые «Стороны», а по отдельности – «Сторона», </w:t>
      </w:r>
      <w:r w:rsidR="00C1557B" w:rsidRPr="00241536">
        <w:rPr>
          <w:sz w:val="24"/>
        </w:rPr>
        <w:t xml:space="preserve">по результатам проведенной Заказчиком конкурентной процедуры по лоту № </w:t>
      </w:r>
      <w:r w:rsidR="00241536" w:rsidRPr="00241536">
        <w:rPr>
          <w:sz w:val="24"/>
        </w:rPr>
        <w:t>1301-РЕМ ПРОД-2021-ДРСК</w:t>
      </w:r>
      <w:r w:rsidR="00C1557B" w:rsidRPr="00241536">
        <w:rPr>
          <w:bCs/>
          <w:sz w:val="24"/>
        </w:rPr>
        <w:t>,</w:t>
      </w:r>
      <w:r w:rsidR="00C1557B" w:rsidRPr="00241536">
        <w:rPr>
          <w:sz w:val="24"/>
        </w:rPr>
        <w:t xml:space="preserve"> и </w:t>
      </w:r>
      <w:r w:rsidR="00BB4CED" w:rsidRPr="00241536">
        <w:rPr>
          <w:bCs/>
          <w:sz w:val="24"/>
        </w:rPr>
        <w:t xml:space="preserve">на основании Протокола Закупочной комиссии по запросу предложений в электронной форме с участием только субъектов МСП </w:t>
      </w:r>
      <w:r w:rsidR="00C1557B" w:rsidRPr="00241536">
        <w:rPr>
          <w:bCs/>
          <w:sz w:val="24"/>
        </w:rPr>
        <w:t>на право заключения договора на выполнение работ</w:t>
      </w:r>
      <w:r w:rsidR="00C1557B" w:rsidRPr="00241536">
        <w:rPr>
          <w:b/>
          <w:bCs/>
          <w:sz w:val="24"/>
        </w:rPr>
        <w:t xml:space="preserve"> </w:t>
      </w:r>
      <w:r w:rsidR="00C1557B" w:rsidRPr="00241536">
        <w:rPr>
          <w:bCs/>
          <w:sz w:val="24"/>
        </w:rPr>
        <w:t xml:space="preserve">по </w:t>
      </w:r>
      <w:r w:rsidR="00241536" w:rsidRPr="00241536">
        <w:rPr>
          <w:b/>
          <w:i/>
          <w:sz w:val="24"/>
        </w:rPr>
        <w:t>чистке просек ВЛ СП "ЦЭС"</w:t>
      </w:r>
      <w:r w:rsidR="00C1557B" w:rsidRPr="00241536">
        <w:rPr>
          <w:bCs/>
          <w:sz w:val="24"/>
        </w:rPr>
        <w:t xml:space="preserve"> № </w:t>
      </w:r>
      <w:r w:rsidR="00B67947" w:rsidRPr="00241536">
        <w:rPr>
          <w:bCs/>
          <w:sz w:val="24"/>
        </w:rPr>
        <w:t>__</w:t>
      </w:r>
      <w:r w:rsidR="00C1557B" w:rsidRPr="00241536">
        <w:rPr>
          <w:bCs/>
          <w:sz w:val="24"/>
        </w:rPr>
        <w:t>/У</w:t>
      </w:r>
      <w:r w:rsidR="00B67947" w:rsidRPr="00241536">
        <w:rPr>
          <w:bCs/>
          <w:sz w:val="24"/>
        </w:rPr>
        <w:t>Р</w:t>
      </w:r>
      <w:r w:rsidR="00C1557B" w:rsidRPr="00241536">
        <w:rPr>
          <w:bCs/>
          <w:sz w:val="24"/>
        </w:rPr>
        <w:t>-ВП от «</w:t>
      </w:r>
      <w:r w:rsidR="00B67947" w:rsidRPr="00241536">
        <w:rPr>
          <w:bCs/>
          <w:sz w:val="24"/>
        </w:rPr>
        <w:t>__</w:t>
      </w:r>
      <w:r w:rsidR="00C1557B" w:rsidRPr="00241536">
        <w:rPr>
          <w:bCs/>
          <w:sz w:val="24"/>
        </w:rPr>
        <w:t xml:space="preserve">» </w:t>
      </w:r>
      <w:r w:rsidR="00B67947" w:rsidRPr="00241536">
        <w:rPr>
          <w:bCs/>
          <w:sz w:val="24"/>
        </w:rPr>
        <w:t xml:space="preserve">___ </w:t>
      </w:r>
      <w:r w:rsidR="00C1557B" w:rsidRPr="00241536">
        <w:rPr>
          <w:bCs/>
          <w:sz w:val="24"/>
        </w:rPr>
        <w:t>20</w:t>
      </w:r>
      <w:r w:rsidR="002E665B" w:rsidRPr="00241536">
        <w:rPr>
          <w:bCs/>
          <w:sz w:val="24"/>
        </w:rPr>
        <w:t>20</w:t>
      </w:r>
      <w:r w:rsidR="00C1557B" w:rsidRPr="00241536">
        <w:rPr>
          <w:bCs/>
          <w:sz w:val="24"/>
        </w:rPr>
        <w:t xml:space="preserve"> года, </w:t>
      </w:r>
      <w:r w:rsidR="00C1557B" w:rsidRPr="00241536">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w:t>
      </w:r>
      <w:r w:rsidR="00090271" w:rsidRPr="00C2118D">
        <w:rPr>
          <w:lang w:eastAsia="en-US"/>
        </w:rPr>
        <w:lastRenderedPageBreak/>
        <w:t>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003531C5" w:rsidR="00057C51" w:rsidRPr="00C2118D" w:rsidRDefault="00057C51" w:rsidP="00057C51">
      <w:pPr>
        <w:pStyle w:val="ae"/>
        <w:numPr>
          <w:ilvl w:val="1"/>
          <w:numId w:val="3"/>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241536">
        <w:rPr>
          <w:b/>
          <w:i/>
        </w:rPr>
        <w:t>ч</w:t>
      </w:r>
      <w:r w:rsidR="00241536" w:rsidRPr="00241536">
        <w:rPr>
          <w:b/>
          <w:i/>
        </w:rPr>
        <w:t>истк</w:t>
      </w:r>
      <w:r w:rsidR="00241536">
        <w:rPr>
          <w:b/>
          <w:i/>
        </w:rPr>
        <w:t>е</w:t>
      </w:r>
      <w:r w:rsidR="00241536" w:rsidRPr="00241536">
        <w:rPr>
          <w:b/>
          <w:i/>
        </w:rPr>
        <w:t xml:space="preserve"> просек ВЛ СП "ЦЭС"</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5"/>
    </w:p>
    <w:p w14:paraId="4A893533" w14:textId="5B6E8C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30A35AAC" w:rsidR="00057C51" w:rsidRPr="00241536" w:rsidRDefault="00057C51" w:rsidP="00057C51">
      <w:pPr>
        <w:pStyle w:val="ae"/>
        <w:numPr>
          <w:ilvl w:val="1"/>
          <w:numId w:val="3"/>
        </w:numPr>
        <w:shd w:val="clear" w:color="auto" w:fill="FFFFFF"/>
        <w:tabs>
          <w:tab w:val="left" w:pos="1134"/>
        </w:tabs>
        <w:ind w:left="0" w:firstLine="709"/>
        <w:jc w:val="both"/>
        <w:rPr>
          <w:bCs/>
        </w:rPr>
      </w:pPr>
      <w:r w:rsidRPr="00241536">
        <w:rPr>
          <w:bCs/>
        </w:rPr>
        <w:t xml:space="preserve">Работы по Договору выполняются для нужд </w:t>
      </w:r>
      <w:r w:rsidR="00C47779" w:rsidRPr="00241536">
        <w:t>СП «</w:t>
      </w:r>
      <w:r w:rsidR="00241536" w:rsidRPr="00241536">
        <w:t xml:space="preserve">Центральные </w:t>
      </w:r>
      <w:r w:rsidRPr="00241536">
        <w:t>ЭС» филиала АО «Дальневосточная распр</w:t>
      </w:r>
      <w:r w:rsidR="00D90E94" w:rsidRPr="00241536">
        <w:t xml:space="preserve">еделительная сетевая компания» </w:t>
      </w:r>
      <w:r w:rsidRPr="00241536">
        <w:t>«Амурские электрические сети»</w:t>
      </w:r>
      <w:r w:rsidRPr="00241536">
        <w:rPr>
          <w:bCs/>
        </w:rPr>
        <w:t xml:space="preserve">. </w:t>
      </w:r>
    </w:p>
    <w:p w14:paraId="7D38DBC5" w14:textId="77777777" w:rsidR="00057C51" w:rsidRPr="00241536" w:rsidRDefault="00057C51" w:rsidP="00057C51">
      <w:pPr>
        <w:pStyle w:val="ae"/>
        <w:numPr>
          <w:ilvl w:val="1"/>
          <w:numId w:val="3"/>
        </w:numPr>
        <w:shd w:val="clear" w:color="auto" w:fill="FFFFFF"/>
        <w:tabs>
          <w:tab w:val="left" w:pos="1134"/>
        </w:tabs>
        <w:ind w:left="0" w:firstLine="709"/>
        <w:jc w:val="both"/>
        <w:rPr>
          <w:bCs/>
        </w:rPr>
      </w:pPr>
      <w:r w:rsidRPr="00241536">
        <w:rPr>
          <w:bCs/>
        </w:rPr>
        <w:t xml:space="preserve">Место выполнения Работ: </w:t>
      </w:r>
    </w:p>
    <w:p w14:paraId="0954032A" w14:textId="035779B5" w:rsidR="00057C51" w:rsidRPr="00241536" w:rsidRDefault="00057C51" w:rsidP="00057C51">
      <w:pPr>
        <w:pStyle w:val="ae"/>
        <w:shd w:val="clear" w:color="auto" w:fill="FFFFFF"/>
        <w:tabs>
          <w:tab w:val="left" w:pos="1134"/>
        </w:tabs>
        <w:ind w:left="709"/>
        <w:jc w:val="both"/>
        <w:rPr>
          <w:bCs/>
        </w:rPr>
      </w:pPr>
      <w:r w:rsidRPr="00241536">
        <w:rPr>
          <w:bCs/>
        </w:rPr>
        <w:t xml:space="preserve">- Амурская область, </w:t>
      </w:r>
      <w:r w:rsidR="00241536" w:rsidRPr="00241536">
        <w:rPr>
          <w:bCs/>
        </w:rPr>
        <w:t xml:space="preserve">Благовещенский, </w:t>
      </w:r>
      <w:r w:rsidR="00241536" w:rsidRPr="00241536">
        <w:t xml:space="preserve">Белогорский, </w:t>
      </w:r>
      <w:proofErr w:type="spellStart"/>
      <w:r w:rsidR="00241536" w:rsidRPr="00241536">
        <w:t>Ромненский</w:t>
      </w:r>
      <w:proofErr w:type="spellEnd"/>
      <w:r w:rsidR="00241536" w:rsidRPr="00241536">
        <w:t xml:space="preserve"> районы.</w:t>
      </w:r>
    </w:p>
    <w:p w14:paraId="085CEBF4" w14:textId="77777777" w:rsidR="00057C51" w:rsidRPr="00241536"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241536">
        <w:rPr>
          <w:bCs/>
        </w:rPr>
        <w:t>Работы выполняются Подрядчиком в следующие сроки:</w:t>
      </w:r>
      <w:bookmarkEnd w:id="6"/>
    </w:p>
    <w:p w14:paraId="22659875" w14:textId="6B0DDD7E" w:rsidR="009775F1" w:rsidRPr="00241536" w:rsidRDefault="009775F1" w:rsidP="009775F1">
      <w:pPr>
        <w:pStyle w:val="ae"/>
        <w:numPr>
          <w:ilvl w:val="2"/>
          <w:numId w:val="3"/>
        </w:numPr>
        <w:shd w:val="clear" w:color="auto" w:fill="FFFFFF"/>
        <w:tabs>
          <w:tab w:val="left" w:pos="1418"/>
        </w:tabs>
        <w:ind w:left="0" w:firstLine="709"/>
        <w:jc w:val="both"/>
      </w:pPr>
      <w:r w:rsidRPr="00241536">
        <w:rPr>
          <w:bCs/>
        </w:rPr>
        <w:t xml:space="preserve">начало выполнения Работ: </w:t>
      </w:r>
      <w:r w:rsidRPr="00241536">
        <w:t>«</w:t>
      </w:r>
      <w:r w:rsidR="00241536" w:rsidRPr="00241536">
        <w:t>20</w:t>
      </w:r>
      <w:r w:rsidRPr="00241536">
        <w:t xml:space="preserve">» </w:t>
      </w:r>
      <w:r w:rsidR="00241536" w:rsidRPr="00241536">
        <w:t>января</w:t>
      </w:r>
      <w:r w:rsidRPr="00241536">
        <w:t xml:space="preserve"> 20</w:t>
      </w:r>
      <w:r w:rsidR="00241536" w:rsidRPr="00241536">
        <w:t>21</w:t>
      </w:r>
      <w:r w:rsidRPr="00241536">
        <w:t xml:space="preserve"> г.;</w:t>
      </w:r>
    </w:p>
    <w:p w14:paraId="62081B03" w14:textId="6DD3C5DD" w:rsidR="009775F1" w:rsidRPr="00241536" w:rsidRDefault="009775F1" w:rsidP="009775F1">
      <w:pPr>
        <w:pStyle w:val="ae"/>
        <w:numPr>
          <w:ilvl w:val="2"/>
          <w:numId w:val="3"/>
        </w:numPr>
        <w:shd w:val="clear" w:color="auto" w:fill="FFFFFF"/>
        <w:tabs>
          <w:tab w:val="left" w:pos="1418"/>
        </w:tabs>
        <w:ind w:left="0" w:firstLine="709"/>
        <w:jc w:val="both"/>
      </w:pPr>
      <w:r w:rsidRPr="00241536">
        <w:rPr>
          <w:bCs/>
        </w:rPr>
        <w:t xml:space="preserve">окончание выполнения Работ: </w:t>
      </w:r>
      <w:r w:rsidRPr="00241536">
        <w:t>«</w:t>
      </w:r>
      <w:r w:rsidR="00241536" w:rsidRPr="00241536">
        <w:t>30</w:t>
      </w:r>
      <w:r w:rsidRPr="00241536">
        <w:t xml:space="preserve">» </w:t>
      </w:r>
      <w:r w:rsidR="00241536" w:rsidRPr="00241536">
        <w:t>апреля</w:t>
      </w:r>
      <w:r w:rsidRPr="00241536">
        <w:t xml:space="preserve"> 20</w:t>
      </w:r>
      <w:r w:rsidR="00241536" w:rsidRPr="00241536">
        <w:t>21</w:t>
      </w:r>
      <w:r w:rsidRPr="00241536">
        <w:t xml:space="preserve"> г</w:t>
      </w:r>
      <w:r w:rsidR="00BB4CED" w:rsidRPr="00241536">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241536">
        <w:rPr>
          <w:bCs/>
        </w:rPr>
        <w:t>В</w:t>
      </w:r>
      <w:r w:rsidR="00376930" w:rsidRPr="00241536">
        <w:rPr>
          <w:bCs/>
        </w:rPr>
        <w:t xml:space="preserve">ыполнение </w:t>
      </w:r>
      <w:r w:rsidR="00E07BFF" w:rsidRPr="00241536">
        <w:rPr>
          <w:bCs/>
        </w:rPr>
        <w:t xml:space="preserve">Работ </w:t>
      </w:r>
      <w:r w:rsidR="00EC15AD" w:rsidRPr="00241536">
        <w:rPr>
          <w:bCs/>
        </w:rPr>
        <w:t>осуществляе</w:t>
      </w:r>
      <w:r w:rsidR="00376930" w:rsidRPr="00241536">
        <w:rPr>
          <w:bCs/>
        </w:rPr>
        <w:t>тся</w:t>
      </w:r>
      <w:r w:rsidR="00E07BFF" w:rsidRPr="00241536">
        <w:rPr>
          <w:bCs/>
        </w:rPr>
        <w:t xml:space="preserve"> поэтапно.</w:t>
      </w:r>
      <w:r w:rsidR="00297312" w:rsidRPr="00241536">
        <w:rPr>
          <w:bCs/>
        </w:rPr>
        <w:t xml:space="preserve"> </w:t>
      </w:r>
      <w:r w:rsidR="00286FBD" w:rsidRPr="00241536">
        <w:rPr>
          <w:bCs/>
          <w:lang w:val="en-US"/>
        </w:rPr>
        <w:t>C</w:t>
      </w:r>
      <w:r w:rsidR="00F62544" w:rsidRPr="00241536">
        <w:rPr>
          <w:bCs/>
        </w:rPr>
        <w:t>роки</w:t>
      </w:r>
      <w:r w:rsidR="00EC15AD" w:rsidRPr="00241536">
        <w:rPr>
          <w:bCs/>
        </w:rPr>
        <w:t xml:space="preserve"> </w:t>
      </w:r>
      <w:r w:rsidR="00F62544" w:rsidRPr="00241536">
        <w:rPr>
          <w:bCs/>
        </w:rPr>
        <w:t xml:space="preserve">выполнения </w:t>
      </w:r>
      <w:r w:rsidR="002E0762" w:rsidRPr="00241536">
        <w:rPr>
          <w:bCs/>
        </w:rPr>
        <w:t xml:space="preserve">отдельных </w:t>
      </w:r>
      <w:r w:rsidR="00E204ED" w:rsidRPr="00241536">
        <w:rPr>
          <w:bCs/>
        </w:rPr>
        <w:t>Э</w:t>
      </w:r>
      <w:r w:rsidR="00E07BFF" w:rsidRPr="00241536">
        <w:rPr>
          <w:bCs/>
        </w:rPr>
        <w:t>тапов</w:t>
      </w:r>
      <w:r w:rsidR="00E07BFF" w:rsidRPr="00C2118D">
        <w:rPr>
          <w:bCs/>
        </w:rPr>
        <w:t xml:space="preserve">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lastRenderedPageBreak/>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proofErr w:type="gramStart"/>
      <w:r w:rsidR="009775F1">
        <w:t xml:space="preserve">, </w:t>
      </w:r>
      <w:r w:rsidR="009775F1" w:rsidRPr="00F16285">
        <w:t>,</w:t>
      </w:r>
      <w:proofErr w:type="gramEnd"/>
      <w:r w:rsidR="009775F1" w:rsidRPr="00F16285">
        <w:t xml:space="preserve">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 xml:space="preserve">ного и </w:t>
      </w:r>
      <w:proofErr w:type="spellStart"/>
      <w:r w:rsidR="0061451A" w:rsidRPr="00F16285">
        <w:rPr>
          <w:bCs/>
        </w:rPr>
        <w:t>внутриобъект</w:t>
      </w:r>
      <w:r w:rsidR="00281A56" w:rsidRPr="00F16285">
        <w:rPr>
          <w:bCs/>
        </w:rPr>
        <w:t>ово</w:t>
      </w:r>
      <w:r w:rsidR="0061451A" w:rsidRPr="00F16285">
        <w:rPr>
          <w:bCs/>
        </w:rPr>
        <w:t>го</w:t>
      </w:r>
      <w:proofErr w:type="spellEnd"/>
      <w:r w:rsidR="0061451A" w:rsidRPr="00F16285">
        <w:rPr>
          <w:bCs/>
        </w:rPr>
        <w:t xml:space="preserve">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705A8E71"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w:t>
      </w:r>
      <w:r w:rsidRPr="00241536">
        <w:t>указанного в пункте 2.3.10. настоящего Договора, Заказчик обязан оформить и передать</w:t>
      </w:r>
      <w:r w:rsidRPr="00DB6003">
        <w:t xml:space="preserve">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lastRenderedPageBreak/>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41536"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41536">
        <w:rPr>
          <w:bCs/>
        </w:rPr>
        <w:t>Субподрядчик</w:t>
      </w:r>
      <w:r w:rsidRPr="00241536">
        <w:rPr>
          <w:bCs/>
        </w:rPr>
        <w:t>ам.</w:t>
      </w:r>
    </w:p>
    <w:p w14:paraId="3978E844" w14:textId="1D5797A9" w:rsidR="00570626" w:rsidRPr="00241536" w:rsidRDefault="00570626" w:rsidP="00570626">
      <w:pPr>
        <w:pStyle w:val="ae"/>
        <w:numPr>
          <w:ilvl w:val="2"/>
          <w:numId w:val="3"/>
        </w:numPr>
        <w:shd w:val="clear" w:color="auto" w:fill="FFFFFF"/>
        <w:tabs>
          <w:tab w:val="left" w:pos="1418"/>
        </w:tabs>
        <w:ind w:left="0" w:firstLine="709"/>
        <w:jc w:val="both"/>
        <w:rPr>
          <w:bCs/>
        </w:rPr>
      </w:pPr>
      <w:r w:rsidRPr="00241536">
        <w:rPr>
          <w:bCs/>
        </w:rPr>
        <w:t>В случае нарушения Подрядчиком п.2.3.10 настоящего договора Заказчик имеет право:</w:t>
      </w:r>
    </w:p>
    <w:p w14:paraId="6CC5250D" w14:textId="5D177943" w:rsidR="00376DF3" w:rsidRPr="00241536" w:rsidRDefault="00570626" w:rsidP="00376DF3">
      <w:pPr>
        <w:pStyle w:val="ae"/>
        <w:shd w:val="clear" w:color="auto" w:fill="FFFFFF"/>
        <w:tabs>
          <w:tab w:val="left" w:pos="567"/>
        </w:tabs>
        <w:ind w:left="0" w:firstLine="567"/>
        <w:jc w:val="both"/>
      </w:pPr>
      <w:r w:rsidRPr="00241536">
        <w:rPr>
          <w:bCs/>
        </w:rPr>
        <w:t>-о</w:t>
      </w:r>
      <w:r w:rsidRPr="00241536">
        <w:t xml:space="preserve">тказать в допуске к работам </w:t>
      </w:r>
      <w:r w:rsidRPr="00241536">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41536">
        <w:t xml:space="preserve"> </w:t>
      </w:r>
    </w:p>
    <w:p w14:paraId="583B3B4A" w14:textId="77777777" w:rsidR="00570626" w:rsidRPr="0028075B" w:rsidRDefault="00570626" w:rsidP="00570626">
      <w:pPr>
        <w:pStyle w:val="ae"/>
        <w:ind w:left="0" w:firstLine="709"/>
        <w:jc w:val="both"/>
        <w:rPr>
          <w:bCs/>
        </w:rPr>
      </w:pPr>
      <w:r w:rsidRPr="00241536">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w:t>
      </w:r>
      <w:r w:rsidR="00A2642E" w:rsidRPr="008E0930">
        <w:rPr>
          <w:bCs/>
        </w:rPr>
        <w:lastRenderedPageBreak/>
        <w:t>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241536" w:rsidRDefault="00554E91" w:rsidP="00554E91">
      <w:pPr>
        <w:pStyle w:val="ae"/>
        <w:numPr>
          <w:ilvl w:val="2"/>
          <w:numId w:val="3"/>
        </w:numPr>
        <w:shd w:val="clear" w:color="auto" w:fill="FFFFFF"/>
        <w:tabs>
          <w:tab w:val="left" w:pos="1418"/>
        </w:tabs>
        <w:ind w:left="0" w:firstLine="709"/>
        <w:jc w:val="both"/>
      </w:pPr>
      <w:r w:rsidRPr="00241536">
        <w:t>Обеспечить:</w:t>
      </w:r>
    </w:p>
    <w:p w14:paraId="3548129D" w14:textId="77777777" w:rsidR="00554E91" w:rsidRPr="00241536" w:rsidRDefault="00554E91" w:rsidP="00554E91">
      <w:pPr>
        <w:pStyle w:val="ae"/>
        <w:numPr>
          <w:ilvl w:val="0"/>
          <w:numId w:val="15"/>
        </w:numPr>
        <w:shd w:val="clear" w:color="auto" w:fill="FFFFFF"/>
        <w:tabs>
          <w:tab w:val="left" w:pos="567"/>
        </w:tabs>
        <w:ind w:left="0" w:firstLine="709"/>
        <w:jc w:val="both"/>
        <w:rPr>
          <w:bCs/>
        </w:rPr>
      </w:pPr>
      <w:r w:rsidRPr="00241536">
        <w:rPr>
          <w:bCs/>
        </w:rPr>
        <w:t xml:space="preserve">участие в саморегулируемой организации, основанной на членстве лиц, </w:t>
      </w:r>
      <w:r w:rsidRPr="00241536">
        <w:t>осуществляющих строительство</w:t>
      </w:r>
      <w:r w:rsidRPr="00241536">
        <w:rPr>
          <w:bCs/>
        </w:rPr>
        <w:t xml:space="preserve"> (с учетом исключений, предусмотренных законодательством Российской Федерации</w:t>
      </w:r>
      <w:r w:rsidRPr="00241536">
        <w:rPr>
          <w:rStyle w:val="a8"/>
          <w:bCs/>
        </w:rPr>
        <w:footnoteReference w:id="2"/>
      </w:r>
      <w:r w:rsidRPr="00241536">
        <w:rPr>
          <w:bCs/>
        </w:rPr>
        <w:t>);</w:t>
      </w:r>
    </w:p>
    <w:p w14:paraId="28FED080" w14:textId="77777777" w:rsidR="00554E91" w:rsidRPr="00241536" w:rsidRDefault="00554E91" w:rsidP="00554E91">
      <w:pPr>
        <w:pStyle w:val="ae"/>
        <w:numPr>
          <w:ilvl w:val="0"/>
          <w:numId w:val="15"/>
        </w:numPr>
        <w:shd w:val="clear" w:color="auto" w:fill="FFFFFF"/>
        <w:tabs>
          <w:tab w:val="left" w:pos="567"/>
          <w:tab w:val="left" w:pos="1418"/>
        </w:tabs>
        <w:ind w:left="0" w:firstLine="709"/>
        <w:jc w:val="both"/>
        <w:rPr>
          <w:bCs/>
        </w:rPr>
      </w:pPr>
      <w:r w:rsidRPr="00241536">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241536">
        <w:t xml:space="preserve"> </w:t>
      </w:r>
      <w:r w:rsidRPr="00241536">
        <w:rPr>
          <w:bCs/>
        </w:rPr>
        <w:t>стоимости выполнения Работ по Договору;</w:t>
      </w:r>
    </w:p>
    <w:p w14:paraId="52919292" w14:textId="77777777" w:rsidR="00554E91" w:rsidRPr="00241536" w:rsidRDefault="00554E91" w:rsidP="00554E91">
      <w:pPr>
        <w:pStyle w:val="ae"/>
        <w:numPr>
          <w:ilvl w:val="0"/>
          <w:numId w:val="15"/>
        </w:numPr>
        <w:tabs>
          <w:tab w:val="left" w:pos="567"/>
        </w:tabs>
        <w:ind w:left="0" w:firstLine="709"/>
        <w:jc w:val="both"/>
        <w:rPr>
          <w:bCs/>
        </w:rPr>
      </w:pPr>
      <w:r w:rsidRPr="00241536">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241536">
        <w:t>Выполнять</w:t>
      </w:r>
      <w:r w:rsidRPr="00241536">
        <w:rPr>
          <w:bCs/>
        </w:rPr>
        <w:t xml:space="preserve"> Работы силами квалифицированных специалистов</w:t>
      </w:r>
      <w:r w:rsidR="00060A51" w:rsidRPr="00241536">
        <w:rPr>
          <w:bCs/>
        </w:rPr>
        <w:t xml:space="preserve"> (в том числе, с учетом требований пункта 2.3.9 Договора)</w:t>
      </w:r>
      <w:r w:rsidRPr="00241536">
        <w:rPr>
          <w:bCs/>
        </w:rPr>
        <w:t>, прошедших соответствующую подготовку, квалификация, опыт и компетенция которых позволяет обеспечить надлежащее и качественное</w:t>
      </w:r>
      <w:r w:rsidRPr="00570626">
        <w:rPr>
          <w:bCs/>
        </w:rPr>
        <w:t xml:space="preserve">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гос.номер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w:t>
      </w:r>
      <w:r w:rsidRPr="00C2118D">
        <w:rPr>
          <w:bCs/>
        </w:rPr>
        <w:lastRenderedPageBreak/>
        <w:t>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5F2A06DD" w:rsidR="0083621D" w:rsidRPr="00241536"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w:t>
      </w:r>
      <w:r w:rsidRPr="00241536">
        <w:rPr>
          <w:bCs/>
          <w:sz w:val="24"/>
          <w:szCs w:val="24"/>
        </w:rPr>
        <w:t xml:space="preserve">возможных негативных последствиях исполнения таких указаний в соответствии с пунктом </w:t>
      </w:r>
      <w:r w:rsidR="005D41A2" w:rsidRPr="00241536">
        <w:rPr>
          <w:bCs/>
          <w:sz w:val="24"/>
          <w:szCs w:val="24"/>
        </w:rPr>
        <w:t>2</w:t>
      </w:r>
      <w:r w:rsidRPr="00241536">
        <w:rPr>
          <w:bCs/>
          <w:sz w:val="24"/>
          <w:szCs w:val="24"/>
        </w:rPr>
        <w:t>.3.2</w:t>
      </w:r>
      <w:r w:rsidR="00554E91" w:rsidRPr="00241536">
        <w:rPr>
          <w:bCs/>
          <w:sz w:val="24"/>
          <w:szCs w:val="24"/>
        </w:rPr>
        <w:t>2</w:t>
      </w:r>
      <w:r w:rsidR="008C084D" w:rsidRPr="00241536">
        <w:rPr>
          <w:bCs/>
          <w:sz w:val="24"/>
          <w:szCs w:val="24"/>
        </w:rPr>
        <w:t>.1</w:t>
      </w:r>
      <w:r w:rsidRPr="00241536">
        <w:rPr>
          <w:bCs/>
          <w:sz w:val="24"/>
          <w:szCs w:val="24"/>
        </w:rPr>
        <w:t xml:space="preserve"> Договора. </w:t>
      </w:r>
    </w:p>
    <w:p w14:paraId="4E001579" w14:textId="367E80D8" w:rsidR="0083621D" w:rsidRPr="00241536" w:rsidRDefault="0083621D" w:rsidP="0083621D">
      <w:pPr>
        <w:pStyle w:val="ae"/>
        <w:shd w:val="clear" w:color="auto" w:fill="FFFFFF"/>
        <w:tabs>
          <w:tab w:val="left" w:pos="1418"/>
        </w:tabs>
        <w:ind w:left="0" w:firstLine="709"/>
        <w:jc w:val="both"/>
        <w:rPr>
          <w:bCs/>
        </w:rPr>
      </w:pPr>
      <w:r w:rsidRPr="00241536">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241536">
        <w:rPr>
          <w:bCs/>
        </w:rPr>
        <w:t>2</w:t>
      </w:r>
      <w:r w:rsidRPr="00241536">
        <w:rPr>
          <w:bCs/>
        </w:rPr>
        <w:t>.3.2</w:t>
      </w:r>
      <w:r w:rsidR="00554E91" w:rsidRPr="00241536">
        <w:rPr>
          <w:bCs/>
        </w:rPr>
        <w:t>2</w:t>
      </w:r>
      <w:r w:rsidR="008C084D" w:rsidRPr="00241536">
        <w:rPr>
          <w:bCs/>
        </w:rPr>
        <w:t>.1</w:t>
      </w:r>
      <w:r w:rsidRPr="00241536">
        <w:rPr>
          <w:bCs/>
        </w:rPr>
        <w:t xml:space="preserve"> Договора. </w:t>
      </w:r>
    </w:p>
    <w:p w14:paraId="74449633" w14:textId="77777777" w:rsidR="0083621D" w:rsidRPr="00241536" w:rsidRDefault="0083621D" w:rsidP="007E0A2C">
      <w:pPr>
        <w:pStyle w:val="ae"/>
        <w:numPr>
          <w:ilvl w:val="2"/>
          <w:numId w:val="3"/>
        </w:numPr>
        <w:shd w:val="clear" w:color="auto" w:fill="FFFFFF"/>
        <w:tabs>
          <w:tab w:val="left" w:pos="1418"/>
        </w:tabs>
        <w:ind w:left="0" w:firstLine="709"/>
        <w:jc w:val="both"/>
        <w:rPr>
          <w:bCs/>
        </w:rPr>
      </w:pPr>
      <w:r w:rsidRPr="00241536">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 (-</w:t>
      </w:r>
      <w:proofErr w:type="spellStart"/>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DF3E73">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7CBAFE5F" w:rsidR="00F902E6" w:rsidRPr="00F16285"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241536">
        <w:rPr>
          <w:bCs/>
        </w:rPr>
        <w:t xml:space="preserve">Цена </w:t>
      </w:r>
      <w:r w:rsidRPr="00241536">
        <w:t>Договора</w:t>
      </w:r>
      <w:r w:rsidR="00A542E8" w:rsidRPr="00241536">
        <w:t xml:space="preserve"> </w:t>
      </w:r>
      <w:r w:rsidRPr="00241536">
        <w:rPr>
          <w:bCs/>
        </w:rPr>
        <w:t xml:space="preserve">в соответствии </w:t>
      </w:r>
      <w:r w:rsidR="00554E91" w:rsidRPr="00241536">
        <w:rPr>
          <w:snapToGrid w:val="0"/>
        </w:rPr>
        <w:t xml:space="preserve">со сводной ведомостью затрат </w:t>
      </w:r>
      <w:r w:rsidRPr="00241536">
        <w:rPr>
          <w:bCs/>
        </w:rPr>
        <w:t xml:space="preserve">(Приложение № </w:t>
      </w:r>
      <w:r w:rsidR="00D44124" w:rsidRPr="00241536">
        <w:rPr>
          <w:bCs/>
        </w:rPr>
        <w:t>4</w:t>
      </w:r>
      <w:r w:rsidR="00B430B2" w:rsidRPr="00241536">
        <w:rPr>
          <w:bCs/>
        </w:rPr>
        <w:t xml:space="preserve"> к</w:t>
      </w:r>
      <w:r w:rsidR="00B430B2" w:rsidRPr="00F16285">
        <w:rPr>
          <w:bCs/>
        </w:rPr>
        <w:t xml:space="preserve">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F16285">
        <w:rPr>
          <w:b/>
          <w:i/>
        </w:rPr>
        <w:t>000 000</w:t>
      </w:r>
      <w:r w:rsidR="00316A21" w:rsidRPr="00F16285">
        <w:rPr>
          <w:b/>
          <w:i/>
        </w:rPr>
        <w:t xml:space="preserve">,00 руб. </w:t>
      </w:r>
      <w:r w:rsidR="00316A21" w:rsidRPr="00F16285">
        <w:t>(</w:t>
      </w:r>
      <w:r w:rsidR="00D4070C" w:rsidRPr="00F16285">
        <w:rPr>
          <w:i/>
        </w:rPr>
        <w:t>______________</w:t>
      </w:r>
      <w:r w:rsidR="00316A21" w:rsidRPr="00F16285">
        <w:rPr>
          <w:i/>
        </w:rPr>
        <w:t xml:space="preserve"> тысяч </w:t>
      </w:r>
      <w:r w:rsidR="00D4070C" w:rsidRPr="00F16285">
        <w:rPr>
          <w:i/>
        </w:rPr>
        <w:t>__________</w:t>
      </w:r>
      <w:r w:rsidR="00316A21" w:rsidRPr="00F16285">
        <w:rPr>
          <w:i/>
        </w:rPr>
        <w:t xml:space="preserve"> рублей, 00 коп.).</w:t>
      </w:r>
    </w:p>
    <w:p w14:paraId="5E7CB3EA" w14:textId="2CBD70F5" w:rsidR="00554E91" w:rsidRPr="00241536" w:rsidRDefault="00554E91" w:rsidP="00466CD9">
      <w:pPr>
        <w:pStyle w:val="ae"/>
        <w:numPr>
          <w:ilvl w:val="1"/>
          <w:numId w:val="34"/>
        </w:numPr>
        <w:shd w:val="clear" w:color="auto" w:fill="FFFFFF"/>
        <w:tabs>
          <w:tab w:val="left" w:pos="1134"/>
        </w:tabs>
        <w:ind w:left="0" w:firstLine="709"/>
        <w:jc w:val="both"/>
        <w:rPr>
          <w:bCs/>
        </w:rPr>
      </w:pPr>
      <w:r w:rsidRPr="00241536">
        <w:rPr>
          <w:bCs/>
        </w:rPr>
        <w:t xml:space="preserve">Локальные сметы являются неотъемлемой частью Сводной ведомости затрат с приложениями (Приложение № </w:t>
      </w:r>
      <w:r w:rsidR="00AB21B3" w:rsidRPr="00241536">
        <w:rPr>
          <w:bCs/>
        </w:rPr>
        <w:t>4</w:t>
      </w:r>
      <w:r w:rsidRPr="00241536">
        <w:rPr>
          <w:bCs/>
        </w:rPr>
        <w:t xml:space="preserve"> к Договору).</w:t>
      </w:r>
      <w:r w:rsidR="00774A67" w:rsidRPr="00241536">
        <w:rPr>
          <w:bCs/>
        </w:rPr>
        <w:t xml:space="preserve"> </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62800136" w:rsidR="0021565D" w:rsidRPr="00241536" w:rsidRDefault="0021565D" w:rsidP="00466CD9">
      <w:pPr>
        <w:pStyle w:val="ae"/>
        <w:numPr>
          <w:ilvl w:val="2"/>
          <w:numId w:val="34"/>
        </w:numPr>
        <w:shd w:val="clear" w:color="auto" w:fill="FFFFFF"/>
        <w:tabs>
          <w:tab w:val="left" w:pos="1418"/>
        </w:tabs>
        <w:ind w:left="0" w:firstLine="709"/>
        <w:jc w:val="both"/>
      </w:pPr>
      <w:bookmarkStart w:id="17" w:name="_Ref361335023"/>
      <w:r w:rsidRPr="00241536">
        <w:t xml:space="preserve">Платежи в размере 100% (ста процентов) от </w:t>
      </w:r>
      <w:proofErr w:type="gramStart"/>
      <w:r w:rsidRPr="00241536">
        <w:t xml:space="preserve">стоимости  </w:t>
      </w:r>
      <w:r w:rsidR="000504B0" w:rsidRPr="00241536">
        <w:t>Этапа</w:t>
      </w:r>
      <w:proofErr w:type="gramEnd"/>
      <w:r w:rsidR="000504B0" w:rsidRPr="00241536">
        <w:t xml:space="preserve"> </w:t>
      </w:r>
      <w:r w:rsidRPr="00241536">
        <w:t xml:space="preserve">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w:t>
      </w:r>
      <w:r w:rsidRPr="00241536">
        <w:lastRenderedPageBreak/>
        <w:t>Подрядчиком, и с учетом пункта 3.</w:t>
      </w:r>
      <w:r w:rsidR="00466CD9" w:rsidRPr="00241536">
        <w:t>5</w:t>
      </w:r>
      <w:r w:rsidRPr="00241536">
        <w:t>.2</w:t>
      </w:r>
      <w:r w:rsidR="00C16773" w:rsidRPr="00241536">
        <w:t xml:space="preserve"> Договора, </w:t>
      </w:r>
      <w:r w:rsidR="00C16773" w:rsidRPr="00241536">
        <w:rPr>
          <w:color w:val="943634" w:themeColor="accent2" w:themeShade="BF"/>
        </w:rPr>
        <w:t xml:space="preserve">либо </w:t>
      </w:r>
      <w:r w:rsidR="00C16773" w:rsidRPr="00241536">
        <w:rPr>
          <w:snapToGrid w:val="0"/>
          <w:color w:val="943634" w:themeColor="accent2" w:themeShade="BF"/>
        </w:rPr>
        <w:t>(</w:t>
      </w:r>
      <w:r w:rsidR="00C16773" w:rsidRPr="00241536">
        <w:rPr>
          <w:i/>
          <w:iCs/>
          <w:snapToGrid w:val="0"/>
          <w:color w:val="943634" w:themeColor="accent2" w:themeShade="BF"/>
        </w:rPr>
        <w:t>в течение 15 (пятнадцати) рабочих дней, в случае заключения договора с субъектом МСП</w:t>
      </w:r>
      <w:r w:rsidR="00C16773" w:rsidRPr="00241536">
        <w:rPr>
          <w:snapToGrid w:val="0"/>
          <w:color w:val="943634" w:themeColor="accent2" w:themeShade="BF"/>
        </w:rPr>
        <w:t>)</w:t>
      </w:r>
      <w:r w:rsidR="00241536">
        <w:rPr>
          <w:snapToGrid w:val="0"/>
          <w:color w:val="943634" w:themeColor="accent2" w:themeShade="BF"/>
        </w:rPr>
        <w:t>.</w:t>
      </w:r>
      <w:r w:rsidR="00C47779" w:rsidRPr="00241536">
        <w:rPr>
          <w:color w:val="943634" w:themeColor="accent2" w:themeShade="BF"/>
        </w:rPr>
        <w:t xml:space="preserve"> </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241536">
        <w:t>В случае выставления Подрядчиком счета на сумму менее размера</w:t>
      </w:r>
      <w:r w:rsidRPr="00F10E3C">
        <w:t xml:space="preserve">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2E279A85"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течение 30 (тридцати) календарных дней</w:t>
      </w:r>
      <w:r w:rsidRPr="00774A67">
        <w:rPr>
          <w:rStyle w:val="a8"/>
        </w:rPr>
        <w:footnoteReference w:id="5"/>
      </w:r>
      <w:r w:rsidRPr="00F16285">
        <w:t xml:space="preserve"> </w:t>
      </w:r>
      <w:r w:rsidR="00BB4CED">
        <w:t>(</w:t>
      </w:r>
      <w:r w:rsidR="00BB4CED" w:rsidRPr="00C16773">
        <w:rPr>
          <w:color w:val="943634" w:themeColor="accent2" w:themeShade="BF"/>
        </w:rPr>
        <w:t xml:space="preserve">либо </w:t>
      </w:r>
      <w:r w:rsidR="00BB4CED" w:rsidRPr="00C16773">
        <w:rPr>
          <w:snapToGrid w:val="0"/>
          <w:color w:val="943634" w:themeColor="accent2" w:themeShade="BF"/>
        </w:rPr>
        <w:t>(</w:t>
      </w:r>
      <w:r w:rsidR="00BB4CED" w:rsidRPr="00C16773">
        <w:rPr>
          <w:i/>
          <w:iCs/>
          <w:snapToGrid w:val="0"/>
          <w:color w:val="943634" w:themeColor="accent2" w:themeShade="BF"/>
        </w:rPr>
        <w:t>в течение 15 (пятнадцати) рабочих дней, в случае заключения договора с субъектом МСП</w:t>
      </w:r>
      <w:r w:rsidR="00BB4CED" w:rsidRPr="00C16773">
        <w:rPr>
          <w:snapToGrid w:val="0"/>
          <w:color w:val="943634" w:themeColor="accent2" w:themeShade="BF"/>
        </w:rPr>
        <w:t>)</w:t>
      </w:r>
      <w:r w:rsidR="00BB4CED" w:rsidRPr="00C16773">
        <w:rPr>
          <w:color w:val="943634" w:themeColor="accent2" w:themeShade="BF"/>
        </w:rPr>
        <w:t xml:space="preserve"> </w:t>
      </w:r>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lastRenderedPageBreak/>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w:t>
      </w:r>
      <w:proofErr w:type="spellStart"/>
      <w:r w:rsidRPr="00F16285">
        <w:rPr>
          <w:bCs/>
          <w:snapToGrid w:val="0"/>
        </w:rPr>
        <w:t>справочно</w:t>
      </w:r>
      <w:proofErr w:type="spellEnd"/>
      <w:r w:rsidRPr="00F16285">
        <w:rPr>
          <w:bCs/>
          <w:snapToGrid w:val="0"/>
        </w:rPr>
        <w:t xml:space="preserve">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lastRenderedPageBreak/>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lastRenderedPageBreak/>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241536">
        <w:t>Гарантийный</w:t>
      </w:r>
      <w:r w:rsidRPr="00241536">
        <w:rPr>
          <w:bCs/>
        </w:rPr>
        <w:t xml:space="preserve"> срок </w:t>
      </w:r>
      <w:r w:rsidR="002B79F2" w:rsidRPr="00241536">
        <w:rPr>
          <w:bCs/>
        </w:rPr>
        <w:t>составляет</w:t>
      </w:r>
      <w:r w:rsidR="004B090F" w:rsidRPr="00241536">
        <w:rPr>
          <w:bCs/>
        </w:rPr>
        <w:t xml:space="preserve"> </w:t>
      </w:r>
      <w:r w:rsidR="00E909B2" w:rsidRPr="00241536">
        <w:t>24</w:t>
      </w:r>
      <w:r w:rsidR="0087405F" w:rsidRPr="00241536">
        <w:t xml:space="preserve"> </w:t>
      </w:r>
      <w:r w:rsidR="0087405F" w:rsidRPr="00241536">
        <w:rPr>
          <w:bCs/>
        </w:rPr>
        <w:t>(</w:t>
      </w:r>
      <w:r w:rsidR="00E909B2" w:rsidRPr="00241536">
        <w:rPr>
          <w:bCs/>
        </w:rPr>
        <w:t>двадцать четыре</w:t>
      </w:r>
      <w:r w:rsidR="0087405F" w:rsidRPr="00241536">
        <w:rPr>
          <w:bCs/>
        </w:rPr>
        <w:t>)</w:t>
      </w:r>
      <w:r w:rsidR="0087405F" w:rsidRPr="00241536">
        <w:t xml:space="preserve"> месяц</w:t>
      </w:r>
      <w:r w:rsidR="00E909B2" w:rsidRPr="00241536">
        <w:t>а</w:t>
      </w:r>
      <w:r w:rsidR="00B619CB" w:rsidRPr="00241536">
        <w:rPr>
          <w:bCs/>
        </w:rPr>
        <w:t xml:space="preserve"> </w:t>
      </w:r>
      <w:r w:rsidR="002B79F2" w:rsidRPr="00241536">
        <w:rPr>
          <w:bCs/>
        </w:rPr>
        <w:t xml:space="preserve">и начинает течь </w:t>
      </w:r>
      <w:r w:rsidR="004B090F" w:rsidRPr="00241536">
        <w:rPr>
          <w:bCs/>
        </w:rPr>
        <w:t>с даты</w:t>
      </w:r>
      <w:r w:rsidR="004B090F" w:rsidRPr="00684901">
        <w:rPr>
          <w:bCs/>
        </w:rPr>
        <w:t xml:space="preserve">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lastRenderedPageBreak/>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w:t>
      </w:r>
      <w:r w:rsidRPr="00C2118D">
        <w:rPr>
          <w:bCs/>
        </w:rPr>
        <w:lastRenderedPageBreak/>
        <w:t>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lastRenderedPageBreak/>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w:t>
      </w:r>
      <w:r w:rsidRPr="00C2118D">
        <w:rPr>
          <w:bCs/>
        </w:rPr>
        <w:lastRenderedPageBreak/>
        <w:t>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A6560A">
        <w:t>коронавирусной</w:t>
      </w:r>
      <w:proofErr w:type="spellEnd"/>
      <w:r w:rsidRPr="00A6560A">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lastRenderedPageBreak/>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241536" w:rsidRDefault="002A599D" w:rsidP="002A599D">
      <w:pPr>
        <w:pStyle w:val="ae"/>
        <w:numPr>
          <w:ilvl w:val="0"/>
          <w:numId w:val="11"/>
        </w:numPr>
        <w:shd w:val="clear" w:color="auto" w:fill="FFFFFF"/>
        <w:tabs>
          <w:tab w:val="left" w:pos="567"/>
          <w:tab w:val="left" w:pos="1418"/>
        </w:tabs>
        <w:ind w:left="0" w:firstLine="709"/>
        <w:jc w:val="both"/>
      </w:pPr>
      <w:r w:rsidRPr="00241536">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41536">
        <w:t>не отозвана (прекращена, приостановлена, признана недействительной) лицензия</w:t>
      </w:r>
      <w:r w:rsidRPr="002A599D">
        <w:t xml:space="preserve">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lastRenderedPageBreak/>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Pr="00241536" w:rsidRDefault="002A599D" w:rsidP="002A599D">
      <w:pPr>
        <w:pStyle w:val="ae"/>
        <w:numPr>
          <w:ilvl w:val="0"/>
          <w:numId w:val="9"/>
        </w:numPr>
        <w:tabs>
          <w:tab w:val="left" w:pos="1134"/>
        </w:tabs>
        <w:ind w:left="0" w:right="23" w:firstLine="709"/>
        <w:jc w:val="both"/>
      </w:pPr>
      <w:r w:rsidRPr="00241536">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241536" w:rsidRDefault="002A599D" w:rsidP="002A599D">
      <w:pPr>
        <w:pStyle w:val="ae"/>
        <w:numPr>
          <w:ilvl w:val="0"/>
          <w:numId w:val="9"/>
        </w:numPr>
        <w:tabs>
          <w:tab w:val="left" w:pos="1134"/>
        </w:tabs>
        <w:ind w:left="0" w:right="23" w:firstLine="709"/>
        <w:jc w:val="both"/>
      </w:pPr>
      <w:r w:rsidRPr="00241536">
        <w:t xml:space="preserve">прекращение членства в СРО, основанной на членстве лиц, </w:t>
      </w:r>
      <w:proofErr w:type="gramStart"/>
      <w:r w:rsidRPr="00241536">
        <w:t>осуществляющих  строительство</w:t>
      </w:r>
      <w:proofErr w:type="gramEnd"/>
      <w:r w:rsidRPr="00241536">
        <w:t>, предоставляющих Подрядчику право на производство Работ по Договору;</w:t>
      </w:r>
    </w:p>
    <w:p w14:paraId="2E088113" w14:textId="2D2B7194" w:rsidR="002A599D" w:rsidRPr="00241536" w:rsidRDefault="002A599D" w:rsidP="002A599D">
      <w:pPr>
        <w:pStyle w:val="ae"/>
        <w:numPr>
          <w:ilvl w:val="0"/>
          <w:numId w:val="9"/>
        </w:numPr>
        <w:tabs>
          <w:tab w:val="left" w:pos="1134"/>
        </w:tabs>
        <w:ind w:left="0" w:right="23" w:firstLine="709"/>
        <w:jc w:val="both"/>
      </w:pPr>
      <w:r w:rsidRPr="00241536">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241536" w:rsidRDefault="002A599D" w:rsidP="002A599D">
      <w:pPr>
        <w:pStyle w:val="ae"/>
        <w:numPr>
          <w:ilvl w:val="0"/>
          <w:numId w:val="9"/>
        </w:numPr>
        <w:tabs>
          <w:tab w:val="left" w:pos="1134"/>
        </w:tabs>
        <w:ind w:left="0" w:right="23" w:firstLine="709"/>
        <w:jc w:val="both"/>
      </w:pPr>
      <w:r w:rsidRPr="00241536">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241536">
        <w:t>привлечение к выполнению Работ по Договору третьих лиц (Субподрядчиков) с</w:t>
      </w:r>
      <w:r w:rsidRPr="00C2118D">
        <w:t xml:space="preserve">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w:t>
      </w:r>
      <w:r w:rsidRPr="00C2118D">
        <w:lastRenderedPageBreak/>
        <w:t xml:space="preserve">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52998D65" w:rsidR="00BD3E59" w:rsidRPr="00BD3E59" w:rsidRDefault="00BB4CED" w:rsidP="007C29E3">
      <w:pPr>
        <w:pStyle w:val="ae"/>
        <w:numPr>
          <w:ilvl w:val="1"/>
          <w:numId w:val="38"/>
        </w:numPr>
        <w:shd w:val="clear" w:color="auto" w:fill="FFFFFF"/>
        <w:tabs>
          <w:tab w:val="left" w:pos="1134"/>
        </w:tabs>
        <w:ind w:left="0" w:firstLine="709"/>
        <w:jc w:val="both"/>
      </w:pPr>
      <w:r w:rsidRPr="00BD3E59">
        <w:t xml:space="preserve">Настоящий договор вступает в силу с момента его заключения и действует по </w:t>
      </w:r>
      <w:r w:rsidRPr="00241536">
        <w:t>«</w:t>
      </w:r>
      <w:r w:rsidR="00241536" w:rsidRPr="00241536">
        <w:t>31</w:t>
      </w:r>
      <w:r w:rsidRPr="00241536">
        <w:t xml:space="preserve">» </w:t>
      </w:r>
      <w:r w:rsidR="00241536" w:rsidRPr="00241536">
        <w:t>декабря</w:t>
      </w:r>
      <w:r w:rsidRPr="00241536">
        <w:t xml:space="preserve"> 20</w:t>
      </w:r>
      <w:r w:rsidR="00241536" w:rsidRPr="00241536">
        <w:t>21</w:t>
      </w:r>
      <w:r w:rsidRPr="00241536">
        <w:t xml:space="preserve"> года, а в части порядка расчетов и ответственности за нарушение сторонами</w:t>
      </w:r>
      <w:r w:rsidRPr="00BD3E59">
        <w:t xml:space="preserve"> своих обязательств, предусмотренных настоящим </w:t>
      </w:r>
      <w:proofErr w:type="gramStart"/>
      <w:r w:rsidRPr="00BD3E59">
        <w:t>договором  –</w:t>
      </w:r>
      <w:proofErr w:type="gramEnd"/>
      <w:r w:rsidRPr="00BD3E59">
        <w:t xml:space="preserve">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 xml:space="preserve">го </w:t>
      </w:r>
      <w:r w:rsidR="00D333F7" w:rsidRPr="00C2118D">
        <w:lastRenderedPageBreak/>
        <w:t>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07C3C3EB" w:rsidR="00DC2B59" w:rsidRPr="000C13BA" w:rsidRDefault="00B93EE3" w:rsidP="00E909B2">
      <w:pPr>
        <w:pStyle w:val="ae"/>
        <w:shd w:val="clear" w:color="auto" w:fill="FFFFFF"/>
        <w:ind w:left="0"/>
        <w:jc w:val="both"/>
        <w:rPr>
          <w:bCs/>
        </w:rPr>
      </w:pPr>
      <w:r w:rsidRPr="00241536">
        <w:rPr>
          <w:bCs/>
        </w:rPr>
        <w:t xml:space="preserve">Приложение № </w:t>
      </w:r>
      <w:r w:rsidR="00AF4179" w:rsidRPr="00241536">
        <w:rPr>
          <w:bCs/>
        </w:rPr>
        <w:t>4</w:t>
      </w:r>
      <w:r w:rsidRPr="00241536">
        <w:rPr>
          <w:bCs/>
        </w:rPr>
        <w:t xml:space="preserve"> </w:t>
      </w:r>
      <w:r w:rsidR="00DD0726" w:rsidRPr="00241536">
        <w:rPr>
          <w:bCs/>
        </w:rPr>
        <w:t>–</w:t>
      </w:r>
      <w:r w:rsidR="002A599D" w:rsidRPr="00241536">
        <w:rPr>
          <w:bCs/>
        </w:rPr>
        <w:t xml:space="preserve"> Сводная ведомость затрат</w:t>
      </w:r>
      <w:r w:rsidR="0092471E" w:rsidRPr="00241536">
        <w:rPr>
          <w:bCs/>
        </w:rPr>
        <w:t>;</w:t>
      </w:r>
    </w:p>
    <w:p w14:paraId="15495A32" w14:textId="6B45C622" w:rsidR="005A303B" w:rsidRPr="000C13BA" w:rsidRDefault="00B93EE3" w:rsidP="00E909B2">
      <w:pPr>
        <w:pStyle w:val="ae"/>
        <w:shd w:val="clear" w:color="auto" w:fill="FFFFFF"/>
        <w:ind w:left="0"/>
        <w:jc w:val="both"/>
        <w:rPr>
          <w:bCs/>
        </w:rPr>
      </w:pPr>
      <w:r w:rsidRPr="000C13BA">
        <w:rPr>
          <w:bCs/>
        </w:rPr>
        <w:t xml:space="preserve">Приложение № </w:t>
      </w:r>
      <w:r w:rsidR="00AF4179" w:rsidRPr="000C13BA">
        <w:rPr>
          <w:bCs/>
        </w:rPr>
        <w:t>5</w:t>
      </w:r>
      <w:r w:rsidR="005A303B" w:rsidRPr="000C13BA">
        <w:rPr>
          <w:bCs/>
        </w:rPr>
        <w:t>.1</w:t>
      </w:r>
      <w:r w:rsidRPr="000C13BA">
        <w:rPr>
          <w:bCs/>
        </w:rPr>
        <w:t xml:space="preserve"> </w:t>
      </w:r>
      <w:r w:rsidR="00DC2B59" w:rsidRPr="000C13BA">
        <w:rPr>
          <w:bCs/>
        </w:rPr>
        <w:t xml:space="preserve">– </w:t>
      </w:r>
      <w:r w:rsidR="00FE6868" w:rsidRPr="000C13BA">
        <w:rPr>
          <w:bCs/>
        </w:rPr>
        <w:t xml:space="preserve">Форма </w:t>
      </w:r>
      <w:r w:rsidR="005A303B" w:rsidRPr="000C13BA">
        <w:rPr>
          <w:bCs/>
        </w:rPr>
        <w:t>Акт</w:t>
      </w:r>
      <w:r w:rsidR="00FE6868" w:rsidRPr="000C13BA">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lastRenderedPageBreak/>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proofErr w:type="spellStart"/>
      <w:r w:rsidRPr="00F41323">
        <w:rPr>
          <w:bCs/>
          <w:sz w:val="24"/>
          <w:szCs w:val="24"/>
        </w:rPr>
        <w:t>абот</w:t>
      </w:r>
      <w:proofErr w:type="spellEnd"/>
      <w:r w:rsidRPr="00F41323">
        <w:rPr>
          <w:bCs/>
          <w:sz w:val="24"/>
          <w:szCs w:val="24"/>
        </w:rPr>
        <w:t xml:space="preserve">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proofErr w:type="spellStart"/>
            <w:r w:rsidRPr="00F41323">
              <w:rPr>
                <w:b w:val="0"/>
                <w:bCs/>
              </w:rPr>
              <w:t>абот</w:t>
            </w:r>
            <w:proofErr w:type="spellEnd"/>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proofErr w:type="spellStart"/>
            <w:r w:rsidRPr="009912AD">
              <w:rPr>
                <w:bCs/>
                <w:sz w:val="23"/>
                <w:szCs w:val="23"/>
              </w:rPr>
              <w:t>Ед.изм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49EA2" w14:textId="77777777" w:rsidR="006C0CDE" w:rsidRDefault="006C0CDE">
      <w:r>
        <w:separator/>
      </w:r>
    </w:p>
  </w:endnote>
  <w:endnote w:type="continuationSeparator" w:id="0">
    <w:p w14:paraId="28C61264" w14:textId="77777777" w:rsidR="006C0CDE" w:rsidRDefault="006C0CDE">
      <w:r>
        <w:continuationSeparator/>
      </w:r>
    </w:p>
  </w:endnote>
  <w:endnote w:type="continuationNotice" w:id="1">
    <w:p w14:paraId="3EBD1198" w14:textId="77777777" w:rsidR="006C0CDE" w:rsidRDefault="006C0C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0C13BA" w:rsidRDefault="000C13BA">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7E994E52" w:rsidR="000C13BA" w:rsidRPr="00415A7E" w:rsidRDefault="000C13BA"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41536">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24F5A" w14:textId="77777777" w:rsidR="006C0CDE" w:rsidRDefault="006C0CDE">
      <w:r>
        <w:separator/>
      </w:r>
    </w:p>
  </w:footnote>
  <w:footnote w:type="continuationSeparator" w:id="0">
    <w:p w14:paraId="69D071E5" w14:textId="77777777" w:rsidR="006C0CDE" w:rsidRDefault="006C0CDE">
      <w:r>
        <w:continuationSeparator/>
      </w:r>
    </w:p>
  </w:footnote>
  <w:footnote w:type="continuationNotice" w:id="1">
    <w:p w14:paraId="45ECD6F2" w14:textId="77777777" w:rsidR="006C0CDE" w:rsidRDefault="006C0CDE">
      <w:pPr>
        <w:spacing w:line="240" w:lineRule="auto"/>
      </w:pPr>
    </w:p>
  </w:footnote>
  <w:footnote w:id="2">
    <w:p w14:paraId="35B0BD3D" w14:textId="77777777" w:rsidR="000C13BA" w:rsidRDefault="000C13BA"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0C13BA" w:rsidRDefault="000C13BA"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0C13BA" w:rsidRDefault="000C13BA"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0C13BA" w:rsidRDefault="000C13BA"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0C13BA" w:rsidRDefault="000C13BA"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0C13BA" w:rsidRDefault="000C13BA"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5">
    <w:p w14:paraId="55FA8FD9" w14:textId="77777777" w:rsidR="000C13BA" w:rsidRDefault="000C13BA" w:rsidP="00C858AA">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6">
    <w:p w14:paraId="5BF8FE4C" w14:textId="77777777" w:rsidR="000C13BA" w:rsidRDefault="000C13BA"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0C13BA" w:rsidRDefault="000C13BA"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0C13BA" w:rsidRDefault="000C13BA"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F41323" w:rsidRPr="004A639E" w:rsidRDefault="00F41323"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536"/>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B20CD19"/>
  <w15:docId w15:val="{E06FF689-B245-498B-A8AB-516538A7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4F254-7B60-446A-A9FA-CB5D2D5027FA}">
  <ds:schemaRefs>
    <ds:schemaRef ds:uri="http://schemas.openxmlformats.org/officeDocument/2006/bibliography"/>
  </ds:schemaRefs>
</ds:datastoreItem>
</file>

<file path=customXml/itemProps2.xml><?xml version="1.0" encoding="utf-8"?>
<ds:datastoreItem xmlns:ds="http://schemas.openxmlformats.org/officeDocument/2006/customXml" ds:itemID="{983141C1-DFCF-436D-BAC5-E8C73EF9C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38</Pages>
  <Words>16049</Words>
  <Characters>91483</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107318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Саяпин Андрей Анатольевич</cp:lastModifiedBy>
  <cp:revision>7</cp:revision>
  <cp:lastPrinted>2018-02-20T05:13:00Z</cp:lastPrinted>
  <dcterms:created xsi:type="dcterms:W3CDTF">2020-04-07T05:12:00Z</dcterms:created>
  <dcterms:modified xsi:type="dcterms:W3CDTF">2020-09-10T06:16:00Z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