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7C4322" w:rsidRDefault="004B090F" w:rsidP="007C4322">
      <w:pPr>
        <w:pStyle w:val="ae"/>
        <w:numPr>
          <w:ilvl w:val="1"/>
          <w:numId w:val="6"/>
        </w:numPr>
        <w:shd w:val="clear" w:color="auto" w:fill="FFFFFF"/>
        <w:tabs>
          <w:tab w:val="left" w:pos="1134"/>
        </w:tabs>
        <w:ind w:left="0" w:firstLine="709"/>
        <w:jc w:val="both"/>
        <w:rPr>
          <w:bCs/>
        </w:rPr>
      </w:pPr>
      <w:bookmarkStart w:id="5" w:name="_Ref361410951"/>
      <w:r w:rsidRPr="007C4322">
        <w:rPr>
          <w:bCs/>
        </w:rPr>
        <w:t xml:space="preserve">Подрядчик обязуется по заданию Заказчика </w:t>
      </w:r>
      <w:r w:rsidR="00B40A4F" w:rsidRPr="007C4322">
        <w:rPr>
          <w:bCs/>
        </w:rPr>
        <w:t xml:space="preserve">в соответствии с Техническими </w:t>
      </w:r>
      <w:r w:rsidR="00496E24" w:rsidRPr="007C4322">
        <w:rPr>
          <w:bCs/>
        </w:rPr>
        <w:t>требовани</w:t>
      </w:r>
      <w:r w:rsidR="00B40A4F" w:rsidRPr="007C4322">
        <w:rPr>
          <w:bCs/>
        </w:rPr>
        <w:t>ями</w:t>
      </w:r>
      <w:r w:rsidR="009058C4" w:rsidRPr="007C4322">
        <w:rPr>
          <w:bCs/>
        </w:rPr>
        <w:t xml:space="preserve"> (Приложение № 1 к Договору) </w:t>
      </w:r>
      <w:r w:rsidR="00AB7F51" w:rsidRPr="007C4322">
        <w:rPr>
          <w:bCs/>
        </w:rPr>
        <w:t xml:space="preserve">выполнить работы по </w:t>
      </w:r>
      <w:r w:rsidR="0042472B" w:rsidRPr="007C4322">
        <w:rPr>
          <w:bCs/>
          <w:i/>
        </w:rPr>
        <w:t xml:space="preserve">строительству объекта </w:t>
      </w:r>
      <w:r w:rsidR="00282F79" w:rsidRPr="00282F79">
        <w:rPr>
          <w:b/>
          <w:bCs/>
          <w:i/>
          <w:iC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w:t>
      </w:r>
      <w:r w:rsidR="007D7D92" w:rsidRPr="007D7D92">
        <w:rPr>
          <w:b/>
          <w:bCs/>
          <w:i/>
          <w:iCs/>
        </w:rPr>
        <w:t>Пожарский район, п.Лучегорск,  с.Сальское</w:t>
      </w:r>
      <w:r w:rsidR="00282F79" w:rsidRPr="00282F79">
        <w:rPr>
          <w:b/>
          <w:bCs/>
          <w:i/>
          <w:iCs/>
        </w:rPr>
        <w:t>)</w:t>
      </w:r>
      <w:r w:rsidR="00354F9E" w:rsidRPr="007C4322">
        <w:rPr>
          <w:b/>
          <w:bCs/>
          <w:i/>
        </w:rPr>
        <w:t xml:space="preserve"> </w:t>
      </w:r>
      <w:r w:rsidR="00226447" w:rsidRPr="007C4322">
        <w:rPr>
          <w:bCs/>
        </w:rPr>
        <w:t xml:space="preserve">(далее </w:t>
      </w:r>
      <w:r w:rsidR="00F01BED" w:rsidRPr="007C4322">
        <w:rPr>
          <w:bCs/>
        </w:rPr>
        <w:t xml:space="preserve">по тексту </w:t>
      </w:r>
      <w:r w:rsidR="00226447" w:rsidRPr="007C4322">
        <w:rPr>
          <w:bCs/>
        </w:rPr>
        <w:t>–</w:t>
      </w:r>
      <w:r w:rsidR="00254121" w:rsidRPr="007C4322">
        <w:rPr>
          <w:bCs/>
        </w:rPr>
        <w:t xml:space="preserve"> </w:t>
      </w:r>
      <w:r w:rsidR="002E0762" w:rsidRPr="007C4322">
        <w:rPr>
          <w:bCs/>
        </w:rPr>
        <w:t>«</w:t>
      </w:r>
      <w:r w:rsidR="00A2715B" w:rsidRPr="007C4322">
        <w:rPr>
          <w:bCs/>
        </w:rPr>
        <w:t>Работы</w:t>
      </w:r>
      <w:r w:rsidR="002E0762" w:rsidRPr="007C4322">
        <w:rPr>
          <w:bCs/>
        </w:rPr>
        <w:t>»</w:t>
      </w:r>
      <w:r w:rsidR="00226447" w:rsidRPr="007C4322">
        <w:rPr>
          <w:bCs/>
        </w:rPr>
        <w:t>)</w:t>
      </w:r>
      <w:r w:rsidR="00C94C81" w:rsidRPr="007C4322">
        <w:rPr>
          <w:bCs/>
        </w:rPr>
        <w:t xml:space="preserve">, </w:t>
      </w:r>
      <w:r w:rsidR="009058C4" w:rsidRPr="007C4322">
        <w:rPr>
          <w:bCs/>
        </w:rPr>
        <w:t xml:space="preserve">а также сдать </w:t>
      </w:r>
      <w:r w:rsidR="00BD311A" w:rsidRPr="007C4322">
        <w:rPr>
          <w:bCs/>
        </w:rPr>
        <w:t>Р</w:t>
      </w:r>
      <w:r w:rsidR="009058C4" w:rsidRPr="007C4322">
        <w:rPr>
          <w:bCs/>
        </w:rPr>
        <w:t xml:space="preserve">езультат </w:t>
      </w:r>
      <w:r w:rsidR="00BD311A" w:rsidRPr="007C4322">
        <w:rPr>
          <w:bCs/>
        </w:rPr>
        <w:t>Работ</w:t>
      </w:r>
      <w:r w:rsidR="003606DA" w:rsidRPr="007C4322">
        <w:rPr>
          <w:bCs/>
        </w:rPr>
        <w:t xml:space="preserve"> </w:t>
      </w:r>
      <w:r w:rsidR="009058C4" w:rsidRPr="007C4322">
        <w:rPr>
          <w:bCs/>
        </w:rPr>
        <w:t xml:space="preserve">Заказчику, а </w:t>
      </w:r>
      <w:r w:rsidR="00C94C81" w:rsidRPr="007C4322">
        <w:rPr>
          <w:bCs/>
        </w:rPr>
        <w:t>Заказчик обязуется</w:t>
      </w:r>
      <w:r w:rsidR="00364822" w:rsidRPr="007C4322">
        <w:rPr>
          <w:bCs/>
        </w:rPr>
        <w:t xml:space="preserve"> </w:t>
      </w:r>
      <w:r w:rsidR="00C94C81" w:rsidRPr="007C4322">
        <w:rPr>
          <w:bCs/>
        </w:rPr>
        <w:t xml:space="preserve">создать Подрядчику указанные в Договоре условия для выполнения Работ, принять </w:t>
      </w:r>
      <w:r w:rsidR="00191916" w:rsidRPr="007C4322">
        <w:rPr>
          <w:bCs/>
        </w:rPr>
        <w:t>Р</w:t>
      </w:r>
      <w:r w:rsidR="00C94C81" w:rsidRPr="007C4322">
        <w:rPr>
          <w:bCs/>
        </w:rPr>
        <w:t>езультат</w:t>
      </w:r>
      <w:r w:rsidR="00BF2D02" w:rsidRPr="007C4322">
        <w:rPr>
          <w:bCs/>
        </w:rPr>
        <w:t xml:space="preserve"> </w:t>
      </w:r>
      <w:r w:rsidR="007A0BA9" w:rsidRPr="007C4322">
        <w:rPr>
          <w:bCs/>
        </w:rPr>
        <w:t>Работ</w:t>
      </w:r>
      <w:r w:rsidR="00BF2D02" w:rsidRPr="007C4322">
        <w:rPr>
          <w:bCs/>
        </w:rPr>
        <w:t xml:space="preserve"> </w:t>
      </w:r>
      <w:r w:rsidR="00C94C81" w:rsidRPr="007C4322">
        <w:rPr>
          <w:bCs/>
        </w:rPr>
        <w:t xml:space="preserve">и уплатить </w:t>
      </w:r>
      <w:r w:rsidR="00BD311A" w:rsidRPr="007C4322">
        <w:rPr>
          <w:bCs/>
        </w:rPr>
        <w:t>Цену Договора</w:t>
      </w:r>
      <w:r w:rsidR="00020455" w:rsidRPr="007C4322">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00F1459F" w:rsidRPr="00F1459F">
        <w:rPr>
          <w:color w:val="0070C0"/>
        </w:rPr>
        <w:t>«31» декабря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7D7D92" w:rsidRPr="007D7D92" w:rsidRDefault="009F0226" w:rsidP="008B4B9D">
      <w:pPr>
        <w:pStyle w:val="ae"/>
        <w:widowControl w:val="0"/>
        <w:numPr>
          <w:ilvl w:val="1"/>
          <w:numId w:val="6"/>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7D7D92">
        <w:t>ей</w:t>
      </w:r>
      <w:r w:rsidRPr="00B3741C">
        <w:t xml:space="preserve"> к электрическим сетям Заказчика по договор</w:t>
      </w:r>
      <w:r w:rsidR="007D7D92">
        <w:t>ам</w:t>
      </w:r>
      <w:r w:rsidR="008B4B9D">
        <w:t xml:space="preserve"> на ТП</w:t>
      </w:r>
      <w:r w:rsidR="007D7D92">
        <w:t>:</w:t>
      </w:r>
    </w:p>
    <w:p w:rsidR="00282F79" w:rsidRPr="007D7D92" w:rsidRDefault="007D7D92" w:rsidP="007D7D92">
      <w:pPr>
        <w:widowControl w:val="0"/>
        <w:shd w:val="clear" w:color="auto" w:fill="FFFFFF"/>
        <w:tabs>
          <w:tab w:val="left" w:pos="1134"/>
        </w:tabs>
        <w:autoSpaceDE w:val="0"/>
        <w:autoSpaceDN w:val="0"/>
        <w:spacing w:line="240" w:lineRule="auto"/>
        <w:ind w:firstLine="709"/>
        <w:rPr>
          <w:color w:val="000000" w:themeColor="text1"/>
          <w:sz w:val="24"/>
          <w:szCs w:val="24"/>
        </w:rPr>
      </w:pPr>
      <w:r w:rsidRPr="007D7D92">
        <w:rPr>
          <w:color w:val="000000" w:themeColor="text1"/>
          <w:sz w:val="24"/>
          <w:szCs w:val="24"/>
        </w:rPr>
        <w:t xml:space="preserve">1.9.1. № 19-5117-З от 24.12.2019 г. (Аксенова О.Д., местоположение установлено относительно ориентира, расположенного за пределами участка. Ориентир здание администрации. Участок находится примерно в 5340 м от ориентира по направлению на юго-восток. Почтовый адрес ориентира: край Приморский, район Пожарский, с. п.Лучегорск, </w:t>
      </w:r>
      <w:r w:rsidRPr="007D7D92">
        <w:rPr>
          <w:color w:val="000000" w:themeColor="text1"/>
          <w:sz w:val="24"/>
          <w:szCs w:val="24"/>
        </w:rPr>
        <w:lastRenderedPageBreak/>
        <w:t>Общественный центр,1, кадастровый номер земельного участка 25:15:010401:6814), 15 кВт. 380 В;</w:t>
      </w:r>
    </w:p>
    <w:p w:rsidR="007D7D92" w:rsidRPr="007D7D92" w:rsidRDefault="007D7D92" w:rsidP="007D7D92">
      <w:pPr>
        <w:tabs>
          <w:tab w:val="left" w:pos="993"/>
        </w:tabs>
        <w:suppressAutoHyphens/>
        <w:spacing w:line="240" w:lineRule="auto"/>
        <w:ind w:right="-16" w:firstLine="709"/>
        <w:rPr>
          <w:snapToGrid/>
          <w:color w:val="000000" w:themeColor="text1"/>
          <w:sz w:val="24"/>
          <w:szCs w:val="24"/>
        </w:rPr>
      </w:pPr>
      <w:r w:rsidRPr="007D7D92">
        <w:rPr>
          <w:snapToGrid/>
          <w:color w:val="000000" w:themeColor="text1"/>
          <w:sz w:val="24"/>
          <w:szCs w:val="24"/>
        </w:rPr>
        <w:t>1.923.  № 20-354-З  от 29.01.2020 г. (Гутник М.Я., Приморский край, Пожарский р-н, в 5 км юго-восточнее п. Лучегорск, садоводческое общество "Луч", участок №41), 15 кВт. 380 В;</w:t>
      </w:r>
    </w:p>
    <w:p w:rsidR="007D7D92" w:rsidRPr="007D7D92" w:rsidRDefault="007D7D92" w:rsidP="007D7D92">
      <w:pPr>
        <w:widowControl w:val="0"/>
        <w:shd w:val="clear" w:color="auto" w:fill="FFFFFF"/>
        <w:tabs>
          <w:tab w:val="left" w:pos="1134"/>
        </w:tabs>
        <w:autoSpaceDE w:val="0"/>
        <w:autoSpaceDN w:val="0"/>
        <w:spacing w:line="240" w:lineRule="auto"/>
        <w:ind w:firstLine="709"/>
        <w:rPr>
          <w:color w:val="000000" w:themeColor="text1"/>
          <w:sz w:val="24"/>
          <w:szCs w:val="24"/>
        </w:rPr>
      </w:pPr>
      <w:r w:rsidRPr="007D7D92">
        <w:rPr>
          <w:color w:val="000000" w:themeColor="text1"/>
          <w:sz w:val="24"/>
          <w:szCs w:val="24"/>
        </w:rPr>
        <w:t>1.931.  № 19-3581-З от 12.09.2019 г. (Дегтярев В.Н., Пожарский район, с/о «Луч», участок №89 а, кадастровый номер земельного участка 25:15:010501:145), 15 кВт. 380 В;</w:t>
      </w:r>
    </w:p>
    <w:p w:rsidR="007D7D92" w:rsidRPr="007D7D92" w:rsidRDefault="007D7D92" w:rsidP="007D7D92">
      <w:pPr>
        <w:widowControl w:val="0"/>
        <w:shd w:val="clear" w:color="auto" w:fill="FFFFFF"/>
        <w:tabs>
          <w:tab w:val="left" w:pos="0"/>
        </w:tabs>
        <w:autoSpaceDE w:val="0"/>
        <w:autoSpaceDN w:val="0"/>
        <w:spacing w:line="240" w:lineRule="auto"/>
        <w:ind w:firstLine="709"/>
        <w:rPr>
          <w:color w:val="000000" w:themeColor="text1"/>
          <w:sz w:val="24"/>
          <w:szCs w:val="24"/>
        </w:rPr>
      </w:pPr>
      <w:r w:rsidRPr="007D7D92">
        <w:rPr>
          <w:color w:val="000000" w:themeColor="text1"/>
          <w:sz w:val="24"/>
          <w:szCs w:val="24"/>
        </w:rPr>
        <w:t>1.948.</w:t>
      </w:r>
      <w:r w:rsidRPr="007D7D92">
        <w:rPr>
          <w:color w:val="000000" w:themeColor="text1"/>
          <w:sz w:val="24"/>
          <w:szCs w:val="24"/>
        </w:rPr>
        <w:tab/>
        <w:t>№19-1360-З от 12.04.2019 г (Банина А.Ю., Приморский край, Дальнереченский район, с.Сальское, ул.Заливная, 5, кадастровый номер земельного участка 25:02:010202:24, 15 кВт 380В.</w:t>
      </w:r>
    </w:p>
    <w:p w:rsidR="007D7D92" w:rsidRPr="007D7D92" w:rsidRDefault="007D7D92" w:rsidP="007D7D92">
      <w:pPr>
        <w:widowControl w:val="0"/>
        <w:shd w:val="clear" w:color="auto" w:fill="FFFFFF"/>
        <w:tabs>
          <w:tab w:val="left" w:pos="0"/>
        </w:tabs>
        <w:autoSpaceDE w:val="0"/>
        <w:autoSpaceDN w:val="0"/>
        <w:spacing w:line="240" w:lineRule="auto"/>
        <w:ind w:firstLine="709"/>
        <w:rPr>
          <w:bCs/>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lastRenderedPageBreak/>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w:t>
      </w:r>
      <w:r w:rsidRPr="008F5183">
        <w:rPr>
          <w:bCs/>
        </w:rPr>
        <w:lastRenderedPageBreak/>
        <w:t xml:space="preserve">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 xml:space="preserve">с указанием их паспортных данных, приложением согласия персонала на </w:t>
      </w:r>
      <w:r w:rsidRPr="00BD336D">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005E32">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005E32">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005E32">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005E32">
      <w:pPr>
        <w:pStyle w:val="ae"/>
        <w:numPr>
          <w:ilvl w:val="0"/>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t>ов</w:t>
      </w:r>
      <w:r w:rsidRPr="00B3741C">
        <w:t xml:space="preserve"> 3.</w:t>
      </w:r>
      <w:r>
        <w:t>4.2, 3.4.3</w:t>
      </w:r>
      <w:r w:rsidRPr="00B3741C">
        <w:t xml:space="preserve"> Договора.</w:t>
      </w:r>
      <w:bookmarkEnd w:id="16"/>
    </w:p>
    <w:p w:rsidR="00005E32" w:rsidRPr="00B3741C" w:rsidRDefault="00005E32" w:rsidP="00005E32">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t>ов</w:t>
      </w:r>
      <w:r w:rsidRPr="00B3741C">
        <w:t xml:space="preserve"> </w:t>
      </w:r>
      <w:r w:rsidRPr="004B5AD9">
        <w:t>3.4.2, 3.4.3 Договора.</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w:t>
      </w:r>
      <w:r w:rsidRPr="00B3741C">
        <w:lastRenderedPageBreak/>
        <w:t>резервирования. При этом в счетах на оплату, выставленных Подрядчиком, должна быть отдельно выделена сумма Обеспечительного платежа.</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005E32">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05E32" w:rsidRPr="00AF54CA" w:rsidRDefault="00005E32" w:rsidP="00005E32">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05E32" w:rsidRPr="00E7094D" w:rsidRDefault="00005E32" w:rsidP="00005E32">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Pr>
          <w:bCs/>
        </w:rPr>
        <w:t>4.2</w:t>
      </w:r>
      <w:r w:rsidRPr="00C2118D">
        <w:rPr>
          <w:bCs/>
        </w:rPr>
        <w:fldChar w:fldCharType="end"/>
      </w:r>
      <w:r>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w:t>
      </w:r>
      <w:r w:rsidRPr="00C2118D">
        <w:rPr>
          <w:bCs/>
        </w:rPr>
        <w:lastRenderedPageBreak/>
        <w:t xml:space="preserve">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005E32">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005E32">
      <w:pPr>
        <w:pStyle w:val="ae"/>
        <w:shd w:val="clear" w:color="auto" w:fill="FFFFFF"/>
        <w:tabs>
          <w:tab w:val="left" w:pos="1134"/>
        </w:tabs>
        <w:ind w:left="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005E32">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005E32">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3F0FE4" w:rsidRDefault="00005E32" w:rsidP="00005E32">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05E32" w:rsidRPr="003F0FE4" w:rsidRDefault="00005E32" w:rsidP="00005E32">
      <w:pPr>
        <w:shd w:val="clear" w:color="auto" w:fill="FFFFFF"/>
        <w:tabs>
          <w:tab w:val="left" w:pos="1134"/>
        </w:tabs>
        <w:ind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005E32">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0E0115">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005E32">
      <w:pPr>
        <w:pStyle w:val="ae"/>
        <w:shd w:val="clear" w:color="auto" w:fill="FFFFFF"/>
        <w:tabs>
          <w:tab w:val="left" w:pos="1418"/>
        </w:tabs>
        <w:ind w:left="0" w:firstLine="709"/>
        <w:jc w:val="both"/>
        <w:rPr>
          <w:bCs/>
        </w:rPr>
      </w:pP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005E32">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005E32">
      <w:pPr>
        <w:pStyle w:val="ae"/>
        <w:numPr>
          <w:ilvl w:val="1"/>
          <w:numId w:val="6"/>
        </w:numPr>
        <w:shd w:val="clear" w:color="auto" w:fill="FFFFFF"/>
        <w:tabs>
          <w:tab w:val="left" w:pos="1134"/>
        </w:tabs>
        <w:ind w:left="0" w:firstLine="709"/>
        <w:jc w:val="both"/>
        <w:rPr>
          <w:bCs/>
        </w:rPr>
      </w:pPr>
      <w:r w:rsidRPr="0047622F">
        <w:rPr>
          <w:bCs/>
        </w:rPr>
        <w:lastRenderedPageBreak/>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005E32">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005E32">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005E32">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971B2E" w:rsidRDefault="00005E32" w:rsidP="00005E32">
      <w:pPr>
        <w:shd w:val="clear" w:color="auto" w:fill="FFFFFF"/>
        <w:tabs>
          <w:tab w:val="left" w:pos="1134"/>
        </w:tabs>
        <w:ind w:left="709"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w:t>
      </w:r>
      <w:r w:rsidRPr="0047622F">
        <w:rPr>
          <w:kern w:val="36"/>
          <w:sz w:val="24"/>
        </w:rPr>
        <w:lastRenderedPageBreak/>
        <w:t xml:space="preserve">Оборудования и/или результата работ в целом по Договору и / или соответствующего объекта по Договору; </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005E32" w:rsidRPr="0047622F" w:rsidRDefault="00005E32" w:rsidP="00005E3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05E32" w:rsidRPr="00985237" w:rsidRDefault="00005E32" w:rsidP="00005E32">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Срок оплаты неустойки, установленной п. 7.9 договора, письменно согласовывается Сторонами при приемке Результата Работ по Договору.</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05E32" w:rsidRPr="00BD336D" w:rsidRDefault="00005E32" w:rsidP="00005E32">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05E32" w:rsidRPr="0047622F" w:rsidRDefault="00005E32" w:rsidP="00005E32">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w:t>
      </w:r>
      <w:r w:rsidRPr="0047622F">
        <w:rPr>
          <w:kern w:val="36"/>
        </w:rPr>
        <w:lastRenderedPageBreak/>
        <w:t>подтвержденных расходов, произведенных для восстановления нарушенного права.</w:t>
      </w:r>
    </w:p>
    <w:p w:rsidR="00005E32" w:rsidRPr="0047622F" w:rsidRDefault="00005E32" w:rsidP="00005E32">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05E32" w:rsidRPr="0016064F" w:rsidRDefault="00005E32" w:rsidP="00005E32">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05E32" w:rsidRPr="00190115" w:rsidRDefault="00005E32" w:rsidP="00005E32">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05E32" w:rsidRDefault="00005E32" w:rsidP="00005E32">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05E32" w:rsidRPr="00C2118D" w:rsidRDefault="00005E32" w:rsidP="00005E32">
      <w:pPr>
        <w:spacing w:line="240" w:lineRule="auto"/>
        <w:rPr>
          <w:b/>
          <w:color w:val="000000"/>
          <w:sz w:val="24"/>
          <w:szCs w:val="24"/>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005E32">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005E32">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lastRenderedPageBreak/>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 xml:space="preserve">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w:t>
      </w:r>
      <w:r w:rsidRPr="00C2118D">
        <w:rPr>
          <w:bCs/>
        </w:rPr>
        <w:lastRenderedPageBreak/>
        <w:t>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005E32">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005E32">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w:t>
      </w:r>
      <w:r w:rsidRPr="00C2118D">
        <w:rPr>
          <w:bCs/>
        </w:rPr>
        <w:lastRenderedPageBreak/>
        <w:t xml:space="preserve">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005E3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005E32">
      <w:pPr>
        <w:pStyle w:val="ae"/>
        <w:numPr>
          <w:ilvl w:val="1"/>
          <w:numId w:val="6"/>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005E32">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005E32">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005E32">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005E32">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005E32">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005E32">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005E32">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005E32">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005E32">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w:t>
      </w:r>
      <w:r w:rsidRPr="00C2118D">
        <w:lastRenderedPageBreak/>
        <w:t xml:space="preserve">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005E32">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005E32">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005E32">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005E32">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005E32">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005E32">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005E32">
      <w:pPr>
        <w:pStyle w:val="ae"/>
        <w:numPr>
          <w:ilvl w:val="1"/>
          <w:numId w:val="6"/>
        </w:numPr>
        <w:shd w:val="clear" w:color="auto" w:fill="FFFFFF"/>
        <w:tabs>
          <w:tab w:val="left" w:pos="1134"/>
        </w:tabs>
        <w:ind w:left="0" w:firstLine="709"/>
        <w:jc w:val="both"/>
      </w:pPr>
      <w:r w:rsidRPr="00C2118D">
        <w:lastRenderedPageBreak/>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005E32">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005E32">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005E3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005E32">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005E32">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lastRenderedPageBreak/>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53F" w:rsidRDefault="00AE753F">
      <w:r>
        <w:separator/>
      </w:r>
    </w:p>
  </w:endnote>
  <w:endnote w:type="continuationSeparator" w:id="0">
    <w:p w:rsidR="00AE753F" w:rsidRDefault="00AE753F">
      <w:r>
        <w:continuationSeparator/>
      </w:r>
    </w:p>
  </w:endnote>
  <w:endnote w:type="continuationNotice" w:id="1">
    <w:p w:rsidR="00AE753F" w:rsidRDefault="00AE75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Pr="003A0F1D" w:rsidRDefault="00344CFD">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53F" w:rsidRDefault="00AE753F">
      <w:r>
        <w:separator/>
      </w:r>
    </w:p>
  </w:footnote>
  <w:footnote w:type="continuationSeparator" w:id="0">
    <w:p w:rsidR="00AE753F" w:rsidRDefault="00AE753F">
      <w:r>
        <w:continuationSeparator/>
      </w:r>
    </w:p>
  </w:footnote>
  <w:footnote w:type="continuationNotice" w:id="1">
    <w:p w:rsidR="00AE753F" w:rsidRDefault="00AE753F">
      <w:pPr>
        <w:spacing w:line="240" w:lineRule="auto"/>
      </w:pPr>
    </w:p>
  </w:footnote>
  <w:footnote w:id="2">
    <w:p w:rsidR="00005E32" w:rsidRDefault="00005E32" w:rsidP="00005E32">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344CFD" w:rsidRDefault="00344CF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344CFD" w:rsidRPr="00F75D6A" w:rsidRDefault="00344CFD"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44CFD" w:rsidRPr="00BA3A83" w:rsidRDefault="00344CFD"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344CFD" w:rsidRPr="001F3865" w:rsidRDefault="00344CFD"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CFD" w:rsidRDefault="00344CF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709"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4"/>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2"/>
  </w:num>
  <w:num w:numId="26">
    <w:abstractNumId w:val="45"/>
  </w:num>
  <w:num w:numId="27">
    <w:abstractNumId w:val="55"/>
  </w:num>
  <w:num w:numId="28">
    <w:abstractNumId w:val="6"/>
  </w:num>
  <w:num w:numId="29">
    <w:abstractNumId w:val="74"/>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7"/>
  </w:num>
  <w:num w:numId="36">
    <w:abstractNumId w:val="7"/>
  </w:num>
  <w:num w:numId="37">
    <w:abstractNumId w:val="66"/>
  </w:num>
  <w:num w:numId="38">
    <w:abstractNumId w:val="93"/>
  </w:num>
  <w:num w:numId="39">
    <w:abstractNumId w:val="98"/>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115"/>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5C9"/>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D7D92"/>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E753F"/>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5C00"/>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B73"/>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459F"/>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38ED0-BC71-4B8A-9952-F0EEB0B789D2}">
  <ds:schemaRefs>
    <ds:schemaRef ds:uri="http://schemas.openxmlformats.org/officeDocument/2006/bibliography"/>
  </ds:schemaRefs>
</ds:datastoreItem>
</file>

<file path=customXml/itemProps2.xml><?xml version="1.0" encoding="utf-8"?>
<ds:datastoreItem xmlns:ds="http://schemas.openxmlformats.org/officeDocument/2006/customXml" ds:itemID="{EE8EB21A-A638-4ABA-9094-A9372106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19315</Words>
  <Characters>110096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129153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2017-08-25T15:35:00Z</cp:lastPrinted>
  <dcterms:created xsi:type="dcterms:W3CDTF">2020-10-04T23:12:00Z</dcterms:created>
  <dcterms:modified xsi:type="dcterms:W3CDTF">2020-10-04T23:12:00Z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