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735" w:rsidRPr="00A53735" w:rsidRDefault="00A53735" w:rsidP="00A53735">
      <w:pPr>
        <w:shd w:val="clear" w:color="auto" w:fill="FFFFFF"/>
        <w:spacing w:before="75" w:after="225" w:line="240" w:lineRule="auto"/>
        <w:outlineLvl w:val="1"/>
        <w:rPr>
          <w:rFonts w:ascii="inherit" w:eastAsia="Times New Roman" w:hAnsi="inherit" w:cs="Times New Roman"/>
          <w:color w:val="5D80B6"/>
          <w:sz w:val="36"/>
          <w:szCs w:val="36"/>
          <w:lang w:eastAsia="ru-RU"/>
        </w:rPr>
      </w:pPr>
      <w:r w:rsidRPr="00A53735">
        <w:rPr>
          <w:rFonts w:ascii="inherit" w:eastAsia="Times New Roman" w:hAnsi="inherit" w:cs="Times New Roman"/>
          <w:color w:val="5D80B6"/>
          <w:sz w:val="36"/>
          <w:szCs w:val="36"/>
          <w:lang w:eastAsia="ru-RU"/>
        </w:rPr>
        <w:t xml:space="preserve">Методика расчета минимальной стоимости услуг по охране 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Одним из основных вопросов в деятельности частных охранных организаций является вопрос ценообразования. Предлагаем Вам  ознакомиться с методикой расчета минимальной стоимости услуг по охране, разработанной спец</w:t>
      </w:r>
      <w:r w:rsidR="002C1A54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и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алистами </w:t>
      </w:r>
      <w:hyperlink r:id="rId6" w:history="1">
        <w:r w:rsidRPr="00A53735">
          <w:rPr>
            <w:rFonts w:ascii="pt_sansregular" w:eastAsia="Times New Roman" w:hAnsi="pt_sansregular" w:cs="Times New Roman"/>
            <w:b/>
            <w:bCs/>
            <w:color w:val="0088CC"/>
            <w:sz w:val="21"/>
            <w:szCs w:val="21"/>
            <w:lang w:eastAsia="ru-RU"/>
          </w:rPr>
          <w:t>ФКЦ РОС</w:t>
        </w:r>
      </w:hyperlink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. Данная методика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направлена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прежде всего на борьбу с недобросовестной конкуренцией (занижением цен на охранные услуги при проведении конкурсов, торгов). Считаем, что ознакомление с ней будет полезно при обучении руководителей частных охранных организаций.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Методика расчета минимальной стоимости услуг по охране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Оглавление</w:t>
      </w:r>
    </w:p>
    <w:p w:rsidR="00A53735" w:rsidRPr="00A53735" w:rsidRDefault="00A53735" w:rsidP="00A537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Основные понятия.</w:t>
      </w:r>
    </w:p>
    <w:p w:rsidR="00A53735" w:rsidRPr="00A53735" w:rsidRDefault="00A53735" w:rsidP="00A537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Расчет численности работников на 1 (один) круглосуточный пост охраны в составе 1 (одного) охранника (коэффициент сменности).</w:t>
      </w:r>
    </w:p>
    <w:p w:rsidR="00A53735" w:rsidRPr="00A53735" w:rsidRDefault="00A53735" w:rsidP="00A537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Минимальная заработная плата работника.</w:t>
      </w:r>
    </w:p>
    <w:p w:rsidR="00A53735" w:rsidRPr="00A53735" w:rsidRDefault="00A53735" w:rsidP="00A537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 заработной платы (оплаты труда).</w:t>
      </w:r>
    </w:p>
    <w:p w:rsidR="00A53735" w:rsidRPr="00A53735" w:rsidRDefault="00A53735" w:rsidP="00A537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Взносы на заработную плату.</w:t>
      </w:r>
    </w:p>
    <w:p w:rsidR="00A53735" w:rsidRPr="00A53735" w:rsidRDefault="00A53735" w:rsidP="00A537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Резерв на оплату отпусков.</w:t>
      </w:r>
    </w:p>
    <w:p w:rsidR="00A53735" w:rsidRPr="00A53735" w:rsidRDefault="00A53735" w:rsidP="00A537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Расчет минимальной величины стоимости поста.</w:t>
      </w:r>
    </w:p>
    <w:p w:rsidR="00A53735" w:rsidRPr="00A53735" w:rsidRDefault="00A53735" w:rsidP="00A537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Сравнительный анализ влияния выбора системы налогообложения при установлении минимальной   цен</w:t>
      </w:r>
      <w:hyperlink r:id="rId7" w:anchor="analyz" w:history="1">
        <w:r w:rsidRPr="00A53735">
          <w:rPr>
            <w:rFonts w:ascii="pt_sansregular" w:eastAsia="Times New Roman" w:hAnsi="pt_sansregular" w:cs="Times New Roman"/>
            <w:color w:val="0088CC"/>
            <w:sz w:val="21"/>
            <w:szCs w:val="21"/>
            <w:lang w:eastAsia="ru-RU"/>
          </w:rPr>
          <w:t>ы.</w:t>
        </w:r>
      </w:hyperlink>
    </w:p>
    <w:p w:rsidR="00A53735" w:rsidRPr="00A53735" w:rsidRDefault="00A53735" w:rsidP="00A537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Вывод.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Охранная отрасль — одна из самых трудоемких отраслей экономики, так как доля (сегмент) заработной платы в общей сумме затрат занимает до 68%.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В соответствии со статьей 11.1 Закона РФ от 11.03.1992 г. №2487-I «О частной детективной и охранной деятельности в Российской Федерации» (далее – Закон) частный охранник работает 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u w:val="single"/>
          <w:lang w:eastAsia="ru-RU"/>
        </w:rPr>
        <w:t>по трудовому договору с частной охранной организацией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, и его трудовая деятельность регулируется трудовым законодательством и Законом.</w:t>
      </w:r>
      <w:proofErr w:type="gramEnd"/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Основы трудового законодательства заложены в Трудовом Кодексе Российской Федерации (далее – ТК РФ) и иных нормативных правовых актов, содержащих нормы трудового права.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Именно поэтому в основу методики заложены основы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правильного планового расчета заработной платы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Отклонение от планового расчета начислений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фактической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заработной платы влечет самые тяжелые последствия для работодателя в части трудовых и налоговых споров.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Основные понятия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Рабочее время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— 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относятся к рабочему времени (ст. 91 ТК РФ).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Нормальная продолжительность рабочего времени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не может превышать 40 часов в неделю (ст.91 ТК РФ).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Сменная работа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– это работа в две, три или четыре смены (ст.103 ТК РФ). Она вводится в ЧОО в тех случаях, когда в договоре с заказчиком услуг есть требования непрерывности охраны, т.е. длительность пребывания работника на рабочем месте превышает допустимую продолжительность ежедневной работы, а также в целях более эффективного оказания услуг. При сменной работе каждая группа работников должна трудиться в течение установленной продолжительности рабочего времени в соответствии с графиком сменности. Максимальная длительность смены 24 часа (ст. 99 и ст.103 ТК РФ).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lastRenderedPageBreak/>
        <w:t>Суммированный учет рабочего времени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— продолжительность рабочего времени, не превышающая нормальное число рабочих часов за учетный период (месяц, квартал и другие периоды), установленный правилами внутреннего трудового распорядка. Учетный период не может превышать один год, а для учета рабочего времени работников, занятых на работах с вредными и (или) опасными условиями труда, — три месяца (ст. 104 ТК РФ).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Нормальное число рабочих часов за учетный период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– количество часов, которое определяется исходя из установленной для данной категории работников еженедельной продолжительности рабочего времени. Для работников, работающих неполный рабочий день (смену) и (или) неполную рабочую неделю, нормальное число рабочих часов за учетный период соответственно уменьшается (ст. 104 ТК РФ).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Трудовая функция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— работа по должности в соответствии со штатным расписанием, профессии, специальности с указанием квалификации; конкретного вида поручаемой работнику работы (ст. 15 ТК РФ).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proofErr w:type="gramStart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Заработная плата (оплата труда работника)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— 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(доплаты и надбавки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иные выплаты компенсационного характера) и стимулирующие выплаты (доплаты и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надбавки стимулирующего характера, премии и иные поощрительные выплаты) (ст. 129 ТК РФ).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 xml:space="preserve">Минимальный </w:t>
      </w:r>
      <w:proofErr w:type="gramStart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размер оплаты труда</w:t>
      </w:r>
      <w:proofErr w:type="gramEnd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 xml:space="preserve"> (МРОТ)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 — устанавливается одновременно на всей территории РФ федеральным законом и представляет собой одну из основных государственных гарантий по оплате труда работников. Это следует из части 2 статьи 7 Конституции РФ, из абзаца 2 статьи 130 ТК РФ, части 1 статьи 133 ТК РФ.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минимального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размера оплаты труда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(ст. 133 ТК РФ).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Расчет численности работников на 1 (один) круглосуточный пост охраны в составе 1 (одного) охранника (коэффициент сменности).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При условии круглосуточной охраны могут быть установлены три варианта смен:</w:t>
      </w:r>
    </w:p>
    <w:p w:rsidR="00A53735" w:rsidRPr="00A53735" w:rsidRDefault="00A53735" w:rsidP="00A537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24 часа;</w:t>
      </w:r>
    </w:p>
    <w:p w:rsidR="00A53735" w:rsidRPr="00A53735" w:rsidRDefault="00A53735" w:rsidP="00A537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12 часов дневная смена и 12 часов ночная смена;</w:t>
      </w:r>
    </w:p>
    <w:p w:rsidR="00A53735" w:rsidRPr="00A53735" w:rsidRDefault="00A53735" w:rsidP="00A537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8 часов дневная смена, 8 часов вечерняя смена и 8 часов ночная смена.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При любой из вышеперечисленных смен выполнить условие нормальной продолжительности рабочего времени, которая должна составлять не больше 40 часов в неделю, не представляется возможным.       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>Поэтому необходимо установить суммированный учет рабочего времени с установлением учетного периода (месяца, квартала, максимум года).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По общему правилу договор на оказание охранных услуг заключается на год (с вариантом дальнейшей пролонгации). Рационально установить в правилах внутреннего трудового распорядка учётный период – год.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Рассчитаем коэффициент сменности на год.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При условии, что договор с одним постом и одним охранником на круглосуточную охрану заключен на год, время, необходимое для охраны на год рассчитывается следующим образом: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24 (час) х 1 (охранник) х 365 (дней) =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8 760 часов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Теперь рассчитаем норму при 40-часовой рабочей неделе.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В 2017 г. при пятидневной рабочей неделе с двумя выходными днями будет 247 рабочих дней, в том числе 3 сокращенных на один час рабочих дней, указанных выше, и 118 выходных и нерабочих праздничных дней.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lastRenderedPageBreak/>
        <w:t xml:space="preserve">Норма рабочего времени в 2017 г. составит:      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 xml:space="preserve">при 40-часовой рабочей неделе — 1 973 час.     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>(8 час. x 247 дней — 3 час.).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Рассчитаем коэффициент сменности:      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>8 760 часов: 1 973 часов =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4,44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В последующие годы расчет аналогичен. При этом погрешность расчета минимальна.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b/>
          <w:i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В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среднем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за ряд лет с учетом поправки на наличие листков нетрудоспособности, отпуска </w:t>
      </w:r>
      <w:r w:rsidRPr="00A53735">
        <w:rPr>
          <w:rFonts w:ascii="pt_sansregular" w:eastAsia="Times New Roman" w:hAnsi="pt_sansregular" w:cs="Times New Roman"/>
          <w:b/>
          <w:i/>
          <w:color w:val="000000"/>
          <w:sz w:val="21"/>
          <w:szCs w:val="21"/>
          <w:lang w:eastAsia="ru-RU"/>
        </w:rPr>
        <w:t>коэффициент сменности составляет не менее 4,5.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В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расчете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не учтены обеденные перерывы. В течение рабочего дня (смены) работнику должен быть предоставлен перерыв для отдыха и питания продолжительностью не более двух часов и не менее 30 минут, который в рабочее время не включается. При оказании охранных услуг, где по условиям договора предоставление перерыва для отдыха и питания невозможно, работодатель обязан обеспечить работнику возможность отдыха и приема пищи в рабочее время. Перечень таких работ, а также места для отдыха и приема пищи устанавливаются правилами внутреннего трудового распорядка.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При охране с оружием не предоставление обеденных перерывов спорно.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u w:val="single"/>
          <w:lang w:eastAsia="ru-RU"/>
        </w:rPr>
        <w:t>При установлении обеденных перерывов коэффициент сменности повышается.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br/>
        <w:t>Минимальная заработная плата работника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Минимальная заработная плата работника должна быть не ниже размера минимальной заработной платы в субъекте Российской Федерации, в котором он осуществляет трудовую функцию.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В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субъекте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Российской Федерации размер минимальной заработной платы может устанавливаться региональным соглашением о минимальной заработной плате (ст.133.1 ТК РФ).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«Московское трехстороннее соглашение на 2016-2018 годы между Правительством Москвы, московскими объединениями профсоюзов и московскими объединениями работодателей» (Заключено 15.12.2015 с последующими редакциями) устанавливает размер минимальной заработной платы в городе Москве с 1 января 2016 г. – 17 300 рублей. При этом размер минимальной заработной платы в городе Москве пересматривается 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u w:val="single"/>
          <w:lang w:eastAsia="ru-RU"/>
        </w:rPr>
        <w:t>ежеквартально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и устанавливается в размере величины прожиточного минимума трудоспособного населения города Москвы, утвержденного постановлением Правительства Москвы.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 минимальной заработной платы устанавливается с первого числа месяца, следующего за месяцем вступления в силу постановления Правительства Москвы, устанавливающего величину прожиточного минимума трудоспособного населения города Москвы.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В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случае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снижения величины прожиточного минимума в городе Москве размер минимальной заработной платы сохраняется на прежнем уровне.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Например, на официальном сайте Правительства Москвы </w:t>
      </w:r>
      <w:hyperlink r:id="rId8" w:history="1">
        <w:r w:rsidRPr="00A53735">
          <w:rPr>
            <w:rFonts w:ascii="pt_sansregular" w:eastAsia="Times New Roman" w:hAnsi="pt_sansregular" w:cs="Times New Roman"/>
            <w:color w:val="0088CC"/>
            <w:sz w:val="21"/>
            <w:szCs w:val="21"/>
            <w:lang w:eastAsia="ru-RU"/>
          </w:rPr>
          <w:t>http://www.mos.ru</w:t>
        </w:r>
      </w:hyperlink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, 07.09.2016, и в «Вестнике Мэра и Правительства Москвы», №51, 13.09.2016 г. размещено Постановление Правительства Москвы от 29.11.2016. №794-ПП установлена величина прожиточного минимума за III квартал 2016 года. Она составила 17 561 руб. Начало действия документа — 18.09.2016 г. Величина прожиточного минимума для трудоспособного населения превысила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установленную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ранее 17 300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Поэтому с 1 октября 2016 г. МРОТ составляет 17 561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Постановлением Правительства Москвы от 07.03.2017 г. №88-ПП «Об установлении величины прожиточного минимума в городе Москве за IV квартал 2016 г.» прожиточный минимум для 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u w:val="single"/>
          <w:lang w:eastAsia="ru-RU"/>
        </w:rPr>
        <w:t xml:space="preserve">трудоспособного </w:t>
      </w:r>
      <w:proofErr w:type="spell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u w:val="single"/>
          <w:lang w:eastAsia="ru-RU"/>
        </w:rPr>
        <w:t>населения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установлен</w:t>
      </w:r>
      <w:proofErr w:type="spell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в размере 17219 рублей, что меньше установленного МРОТ с 1 октября 2016 г. Так как произошло снижение величины прожиточного минимума, размер МРОТ сохраняется на прежнем уровне – 17 561 руб.</w:t>
      </w:r>
      <w:proofErr w:type="gramEnd"/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Динамика должна прослеживаться самостоятельно.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proofErr w:type="spell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Справочно</w:t>
      </w:r>
      <w:proofErr w:type="spell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: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lastRenderedPageBreak/>
        <w:t xml:space="preserve">При отсутствии действующего регионального соглашения в других регионах необходимо руководствоваться минимальным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размером оплаты труда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, установленным федеральным законодательством.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Размер заработной платы (оплаты труда)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 оплаты труда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при расчете цены по договору из расчета 1 (одного) круглосуточного поста охраны в составе 1 (одного) охранника не может быть ниже суммы, установленной в следующем расчете: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МРОТ х Коэффициент сменности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Исходя из данных, приведенных в двух предыдущих разделах:        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>17 561 руб. х 4,5 = 79 024 руб.50 коп.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 заработной платы круглосуточного поста охраны составит: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79 024,50 руб.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>Размер минимальной заработной платы в городе Москве включает тарифную ставку (оклад) или оплату труда по бестарифной системе, а также доплаты, надбавки, премии и другие выплаты, 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u w:val="single"/>
          <w:lang w:eastAsia="ru-RU"/>
        </w:rPr>
        <w:t>за исключением выплат, производимых в соответствии со статьями 147, 151, 152, 153, 154 ТК РФ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Работа в выходной или нерабочий праздничный день оплачивается не менее чем в двойном размере работникам, труд которых оплачивается по дневным и часовым тарифным ставкам, — в размере не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менее двойной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дневной или часовой тарифной ставки. Эта сумма в расчете не учтена.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В соответствии со статьей 154 ТК РФ Правительство Российской Федерации Постановлением от 22.07.2008 г. №554 установило минимальный размер повышения оплаты труда за работу в ночное время (с 22 часов до 6 часов), который составляет 20 процентов часовой тарифной ставки (оклада (должностного оклада), рассчитанного за час работы) за каждый час работы в ночное время.</w:t>
      </w:r>
      <w:proofErr w:type="gramEnd"/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В месяц у работника при 24-часовой смене 7-8 смен. Для расчета, указанного ниже, берем 7,5 смен.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Стоимость 1 часа для расчета суммы оплаты ночных часов рассчитаем, как деление размера минимальной заработной платы на среднее количество часов в месяце.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17 561 руб.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164,4 час = 106,82 руб.,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где: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17 561 руб. — МРОТ;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164,4 час — среднее количество рабочих часов в месяце на одного охранника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(1 973 часов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12 месяцев)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Сумма оплаты ночных часов на 1 работника в месяц составит: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106,82 руб. х 8 часов х 7,5 смен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.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х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20 : 100 = 1 281,84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Сумма оплаты ночных часов на круглосуточный пост в составе одного охранника в месяц соответственно составит: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1 281,84 руб. х 4,5 охр. = 5 768,28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proofErr w:type="spell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Справочно</w:t>
      </w:r>
      <w:proofErr w:type="spell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: сумма ночных часов может составить меньшую величину, если часовая тарифная ставка установлена меньше, а МРОТ выполняется выплатой надбавок и премий.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Внимание! В других субъектах Российской Федерации в размер минимальной заработной платы могут не входить иные составляющие, такие, например, как районные коэффициенты и северные надбавки, которые начисляются в обязательном порядке СВЕРХ минимального размера оплаты труда и</w:t>
      </w:r>
      <w:proofErr w:type="gramStart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 xml:space="preserve"> ,</w:t>
      </w:r>
      <w:proofErr w:type="gramEnd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зачастую, значительно повышают стоимость охраны.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Взносы на заработную плату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С 1 января 2017 г. в НК РФ установлена ставка страховых взносов в Пенсионный фонд (ПФ РФ) в размере 22% на 2017, 2018 и 2019 годы, если выплаты физическим лицам не превышают предельную величину базы, и 10% с сумм свыше. Предельная величина базы на 2017 год установлена Правительством РФ с учетом размера средней заработной платы и повышающего коэффициента — 876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lastRenderedPageBreak/>
        <w:t>000 рублей при расчете минимальной цены на рассматриваемый пост не может быть достигнута. На последующие годы аналогично.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По обязательному социальному страхованию на случай временной нетрудоспособности и в связи с материнством (ОСС) размер страховых взносов установлен 2,9%.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Страховые взносы в Фонд обязательного медицинского страхования 5,1%.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Тарифы страховых взносов от несчастных случаев на производстве и профессиональных заболеваний на 2017 г. установлены Федеральным законом от 19.12.2016 г. №419-ФЗ «О страховых тарифах на обязательное социальное страхование от несчастных случаев на производстве и профессиональных заболеваний на 2017 год и на плановый период 2018 и 2019 годов» и Федеральным законом от 22.12.2005 г. №179-ФЗ «О страховых тарифах на обязательное социальное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страхование от несчастных случаев на производстве и профессиональных заболеваний на 2006 год». 1 класс профессионального риска – 0,2%.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Итого начисление страховых взносов на каждый рубль заработной платы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>30,2%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Размер страховых взносов на начисленную заработную плату круглосуточного поста охраны составит:           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>79 024,50 руб. х 30,2</w:t>
      </w:r>
      <w:proofErr w:type="gramStart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 xml:space="preserve"> 100 = 23 865,40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Размер страховых взносов на доплату за начисленные ночные часы круглосуточного поста охраны составит:       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>5 768,28 руб. х 30,2</w:t>
      </w:r>
      <w:proofErr w:type="gramStart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 xml:space="preserve"> 100 = 1 742,02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Резерв на оплату отпусков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В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соответствии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со статьями 114, 115 ТК РФ ежегодно работникам должны предоставляться отпуска с сохранением места работы (должности) и среднего заработка.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Расчетным периодом для расчета отпускных являются 12 календарных месяцев, предшествующих отпуску. Сумма предполагаемого заработка за расчетный период, принимаемого при расчете отпускных, равна: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(79 024,50 руб. + 5 768,28  руб.) х 12 мес. = 1 017 513,36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Руководствуясь в расчете статьей 139 ТК РФ, размер среднего дневного заработка для оплаты отпусков составит:       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>1 017 513,36 руб.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12 мес. : 29,3 </w:t>
      </w:r>
      <w:proofErr w:type="spell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дн</w:t>
      </w:r>
      <w:proofErr w:type="spell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. = 2 893,95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В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соответствии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со статьей 115 ТК РФ продолжительность ежегодного основного оплачиваемого отпуска составляет 28 календарных дней.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Предполагаемый размер отпускных по всем сотрудникам на год составит: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 xml:space="preserve">2 893,95 руб. х 28 </w:t>
      </w:r>
      <w:proofErr w:type="spell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дн</w:t>
      </w:r>
      <w:proofErr w:type="spell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. = 81 030,60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 страховых взносов (30,2%) с предполагаемой годовой суммы отпускных составит: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>81 030,60 руб. х 30,2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100 = 24 471,24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Предполагаемый размер отпускных на год с учетом страховых взносов составит: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  <w:t>81 030,60 руб. + 24 471,24 руб. = 105 501,84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Ежемесячная сумма отчислений в резерв на оплату отпусков по круглосуточному посту в составе одного охранника составит:            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br/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>105 501,84 руб.</w:t>
      </w:r>
      <w:proofErr w:type="gramStart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 xml:space="preserve"> 12 мес. = 8 791,82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Расчет минимальной величины стоимости поста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При определении минимальной величины стоимости поста охраны следует учитывать следующие параметры:</w:t>
      </w:r>
    </w:p>
    <w:p w:rsidR="00A53735" w:rsidRPr="00A53735" w:rsidRDefault="00A53735" w:rsidP="00A537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минимальный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 оплаты труда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г. Москвы;</w:t>
      </w:r>
    </w:p>
    <w:p w:rsidR="00A53735" w:rsidRPr="00A53735" w:rsidRDefault="00A53735" w:rsidP="00A537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lastRenderedPageBreak/>
        <w:t>процентные ставки отчислений в фонды от начисленной заработной платы;</w:t>
      </w:r>
    </w:p>
    <w:p w:rsidR="00A53735" w:rsidRPr="00A53735" w:rsidRDefault="00A53735" w:rsidP="00A537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коэффициент сменности;</w:t>
      </w:r>
    </w:p>
    <w:p w:rsidR="00A53735" w:rsidRPr="00A53735" w:rsidRDefault="00A53735" w:rsidP="00A537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 материальных затрат (специальная форменная одежда, оружие, добровольное страхование охранников и т.д.);</w:t>
      </w:r>
    </w:p>
    <w:p w:rsidR="00A53735" w:rsidRPr="00A53735" w:rsidRDefault="00A53735" w:rsidP="00A537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размер общехозяйственных расходов;</w:t>
      </w:r>
    </w:p>
    <w:p w:rsidR="00A53735" w:rsidRPr="00A53735" w:rsidRDefault="00A53735" w:rsidP="00A537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уровень рентабельности (прибыль);</w:t>
      </w:r>
    </w:p>
    <w:p w:rsidR="00A53735" w:rsidRPr="00A53735" w:rsidRDefault="00A53735" w:rsidP="00A537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НДС 18%.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Общехозяйственные расходы — расходы для нужд управления, не связанные непосредственно с процессом оказания услуг (административно-управленческие расходы; содержание общехозяйственного персонала, не связанного с процессом оказания услуг; амортизационные отчисления и расходы на ремонт основных средств управленческого и общехозяйственного назначения; арендная плата за помещения общехозяйственного назначения; расходы по оплате информационных, аудиторских, консультационных и т.п. услуг;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другие аналогичные по назначению управленческие расходы).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Рентабельность является показателем экономической эффективности деятельности организации и рассчитывается как процентное отношение прибыли к величине активов, затрат, выручки или капитала. Рентабельность показывает, сколько прибыли организация получила с каждой копейки выручки. Рентабельность 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u w:val="single"/>
          <w:lang w:eastAsia="ru-RU"/>
        </w:rPr>
        <w:t>контролируют налоговые органы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(Приложение №4 к Приказу ФНС от 30.05.2007г. №ММ-3-06/333@). Игнорировать эту величину (ориентировочно 5%) нельзя.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(79 024,50 + 5 768,28 + 23 865,40 + 1 742,02+ 8 791,82) х 5</w:t>
      </w:r>
      <w:proofErr w:type="gramStart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 xml:space="preserve"> 100 = 5 959,60 руб.</w:t>
      </w:r>
    </w:p>
    <w:p w:rsidR="00A53735" w:rsidRPr="00A53735" w:rsidRDefault="00A53735" w:rsidP="00A53735">
      <w:pPr>
        <w:shd w:val="clear" w:color="auto" w:fill="FFFFFF"/>
        <w:spacing w:before="75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В таблице приведен расчет стоимости без учета затрат, которыми частная организация может пренебречь ввиду уже наличия необходимых материальных сре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дств дл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я охраны (например, специальная форменная одежда, автотранспорт и т.д.).</w:t>
      </w:r>
    </w:p>
    <w:tbl>
      <w:tblPr>
        <w:tblW w:w="99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1"/>
        <w:gridCol w:w="5855"/>
        <w:gridCol w:w="3254"/>
      </w:tblGrid>
      <w:tr w:rsidR="00A53735" w:rsidRPr="00A53735" w:rsidTr="00A53735">
        <w:trPr>
          <w:tblHeader/>
        </w:trPr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after="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after="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after="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Элемент затрат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Стоимость в руб.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Заработная плата круглосуточного поста охраны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79 024,50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after="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Доплата к заработной плате за ночные часы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5 768,28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Отчисления в фонды от начисленной заработной платы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23 865,40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after="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Отчисления в фонды от начисленной доплаты за ночные часы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1 742,02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Отчисления в резерв на оплату отпусков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8 791,82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Материальные затраты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Общехозяйственные расходы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after="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119 192,02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Прибыль 5%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5 959,60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after="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Стоимость услуги (цена)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125 151,62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after="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Налог на добавленную стоимость 18 %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  <w:t>22 527,29</w:t>
            </w:r>
          </w:p>
        </w:tc>
      </w:tr>
      <w:tr w:rsidR="00A53735" w:rsidRPr="00A53735" w:rsidTr="00A53735">
        <w:tc>
          <w:tcPr>
            <w:tcW w:w="8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after="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75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 с НДС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:rsidR="00A53735" w:rsidRPr="00A53735" w:rsidRDefault="00A53735" w:rsidP="00A53735">
            <w:pPr>
              <w:spacing w:before="75" w:after="150" w:line="240" w:lineRule="auto"/>
              <w:rPr>
                <w:rFonts w:ascii="pt_sansregular" w:eastAsia="Times New Roman" w:hAnsi="pt_sansregular" w:cs="Times New Roman"/>
                <w:color w:val="000000"/>
                <w:sz w:val="21"/>
                <w:szCs w:val="21"/>
                <w:lang w:eastAsia="ru-RU"/>
              </w:rPr>
            </w:pPr>
            <w:r w:rsidRPr="00A53735">
              <w:rPr>
                <w:rFonts w:ascii="pt_sansregular" w:eastAsia="Times New Roman" w:hAnsi="pt_sansregular" w:cs="Times New Roman"/>
                <w:b/>
                <w:bCs/>
                <w:color w:val="000000"/>
                <w:sz w:val="21"/>
                <w:szCs w:val="21"/>
                <w:lang w:eastAsia="ru-RU"/>
              </w:rPr>
              <w:t>147 678,91</w:t>
            </w:r>
          </w:p>
        </w:tc>
      </w:tr>
    </w:tbl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Сравнительный анализ влияния выбора системы налогообложения при установлении минимальной цены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lastRenderedPageBreak/>
        <w:t>Общий режим налогообложения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При общем режиме налогообложения уплачиваются НДС 18% и налог на прибыль в размере 20% от 5 959,60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5 959,60 руб. х 20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100 =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1 191,92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>Упрощенная система налогообложения (УСН) с объектом налогообложения доходы минус расходы.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Для анализа и определения норматива рассчитаем минимальный налог на УСН со стоимости услуги (цены) без НДС: 125 151,62 руб. х 1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100 = 1 251,52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Следовательно, налог на УСН будет уплачиваться с сумы 5 959,60 руб. в размере 15%, что ниже уплаты налога на прибыль при общем режиме налогообложения.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5 959,60 руб. х 15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100 =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893,94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>УСН с объектом налогообложения доходы.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Налог на УСН по общему принципу составит: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125 151,62 руб.  х 6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100 =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7 509,10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Он снижается до половины на сумму страховых взносов, поэтому в бюджет уплачивается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3 754,55 руб.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Вывод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Понятие минимальной величины стоимости услуг по охране должно быть установлено </w:t>
      </w: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lang w:eastAsia="ru-RU"/>
        </w:rPr>
        <w:t>для выполнения следующих правил:</w:t>
      </w:r>
    </w:p>
    <w:p w:rsidR="00A53735" w:rsidRPr="00A53735" w:rsidRDefault="00A53735" w:rsidP="00A537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начальная (максимальная) цена договора в конкурсной документации не должна быть ниже этой расчетной стоимости;</w:t>
      </w:r>
    </w:p>
    <w:p w:rsidR="00A53735" w:rsidRPr="00A53735" w:rsidRDefault="00A53735" w:rsidP="00A537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заказчик охранных услуг не имеет права допускать к конкурсу заявки, в которых указана цена ниже минимальной расчетной величины стоимости поста (постов).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b/>
          <w:bCs/>
          <w:color w:val="000000"/>
          <w:sz w:val="21"/>
          <w:szCs w:val="21"/>
          <w:u w:val="single"/>
          <w:lang w:eastAsia="ru-RU"/>
        </w:rPr>
        <w:t>Цель</w:t>
      </w: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 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установления обязанности расчета минимальной стоимости охранных услуг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:</w:t>
      </w:r>
    </w:p>
    <w:p w:rsidR="00A53735" w:rsidRPr="00A53735" w:rsidRDefault="00A53735" w:rsidP="00A537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пресечь нарушения в налоговом законодательстве;</w:t>
      </w:r>
    </w:p>
    <w:p w:rsidR="00A53735" w:rsidRPr="00A53735" w:rsidRDefault="00A53735" w:rsidP="00A537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пресечь нарушения в трудовом законодательстве;</w:t>
      </w:r>
    </w:p>
    <w:p w:rsidR="00A53735" w:rsidRPr="00A53735" w:rsidRDefault="00A53735" w:rsidP="00A537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правильно установить нормирование труда и отдыха;</w:t>
      </w:r>
    </w:p>
    <w:p w:rsidR="00A53735" w:rsidRPr="00A53735" w:rsidRDefault="00A53735" w:rsidP="00A537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выплачивать заработную плату в полном объеме в соответствии с законодательством;</w:t>
      </w:r>
    </w:p>
    <w:p w:rsidR="00A53735" w:rsidRPr="00A53735" w:rsidRDefault="00A53735" w:rsidP="00A537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снижения доли «теневого» сектора экономики.</w:t>
      </w:r>
    </w:p>
    <w:p w:rsidR="00A53735" w:rsidRPr="00A53735" w:rsidRDefault="00A53735" w:rsidP="00A53735">
      <w:pPr>
        <w:shd w:val="clear" w:color="auto" w:fill="FFFFFF"/>
        <w:spacing w:before="75" w:after="150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Любое снижение ниже минимальной величины стоимости услуг по охране приводит к снижению поступлений в бюджет, внебюджетные фонды, снижение оплаты труда работников и т.д.</w:t>
      </w:r>
    </w:p>
    <w:p w:rsidR="00A53735" w:rsidRPr="00A53735" w:rsidRDefault="00A53735" w:rsidP="00A53735">
      <w:pPr>
        <w:shd w:val="clear" w:color="auto" w:fill="FFFFFF"/>
        <w:spacing w:before="75" w:line="240" w:lineRule="auto"/>
        <w:jc w:val="both"/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При определении минимальной величины стоимости поста охраны (охранные услуги) необходимо учитывать, </w:t>
      </w:r>
      <w:proofErr w:type="gramStart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>помимо</w:t>
      </w:r>
      <w:proofErr w:type="gramEnd"/>
      <w:r w:rsidRPr="00A53735">
        <w:rPr>
          <w:rFonts w:ascii="pt_sansregular" w:eastAsia="Times New Roman" w:hAnsi="pt_sansregular" w:cs="Times New Roman"/>
          <w:color w:val="000000"/>
          <w:sz w:val="21"/>
          <w:szCs w:val="21"/>
          <w:lang w:eastAsia="ru-RU"/>
        </w:rPr>
        <w:t xml:space="preserve"> указанного выше, соотношение цена/качество. Это соотношение должно соответствовать утвержденному уровню безопасности объекта, которое только увеличит стоимость услуг.</w:t>
      </w:r>
    </w:p>
    <w:p w:rsidR="00A53735" w:rsidRPr="00A53735" w:rsidRDefault="00A53735" w:rsidP="00A53735">
      <w:pPr>
        <w:spacing w:after="0" w:line="240" w:lineRule="auto"/>
        <w:rPr>
          <w:rFonts w:ascii="pt_sansregular" w:eastAsia="Times New Roman" w:hAnsi="pt_sansregular" w:cs="Times New Roman"/>
          <w:color w:val="ADADAD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ADADAD"/>
          <w:sz w:val="21"/>
          <w:szCs w:val="21"/>
          <w:lang w:eastAsia="ru-RU"/>
        </w:rPr>
        <w:t>© 2020</w:t>
      </w:r>
      <w:proofErr w:type="gramStart"/>
      <w:r w:rsidRPr="00A53735">
        <w:rPr>
          <w:rFonts w:ascii="pt_sansregular" w:eastAsia="Times New Roman" w:hAnsi="pt_sansregular" w:cs="Times New Roman"/>
          <w:color w:val="ADADAD"/>
          <w:sz w:val="21"/>
          <w:szCs w:val="21"/>
          <w:lang w:eastAsia="ru-RU"/>
        </w:rPr>
        <w:t xml:space="preserve"> В</w:t>
      </w:r>
      <w:proofErr w:type="gramEnd"/>
      <w:r w:rsidRPr="00A53735">
        <w:rPr>
          <w:rFonts w:ascii="pt_sansregular" w:eastAsia="Times New Roman" w:hAnsi="pt_sansregular" w:cs="Times New Roman"/>
          <w:color w:val="ADADAD"/>
          <w:sz w:val="21"/>
          <w:szCs w:val="21"/>
          <w:lang w:eastAsia="ru-RU"/>
        </w:rPr>
        <w:t xml:space="preserve">се права защищены </w:t>
      </w:r>
    </w:p>
    <w:p w:rsidR="00A53735" w:rsidRPr="00A53735" w:rsidRDefault="00A53735" w:rsidP="00A53735">
      <w:pPr>
        <w:spacing w:after="0" w:line="240" w:lineRule="auto"/>
        <w:rPr>
          <w:rFonts w:ascii="pt_sansregular" w:eastAsia="Times New Roman" w:hAnsi="pt_sansregular" w:cs="Times New Roman"/>
          <w:color w:val="5D80B6"/>
          <w:sz w:val="21"/>
          <w:szCs w:val="21"/>
          <w:lang w:eastAsia="ru-RU"/>
        </w:rPr>
      </w:pPr>
      <w:r w:rsidRPr="00A53735">
        <w:rPr>
          <w:rFonts w:ascii="pt_sansregular" w:eastAsia="Times New Roman" w:hAnsi="pt_sansregular" w:cs="Times New Roman"/>
          <w:color w:val="5D80B6"/>
          <w:sz w:val="21"/>
          <w:szCs w:val="21"/>
          <w:lang w:eastAsia="ru-RU"/>
        </w:rPr>
        <w:t xml:space="preserve">Москва, Шлюзовая набережная, д. 6,  стр. 4, </w:t>
      </w:r>
    </w:p>
    <w:p w:rsidR="00020DC7" w:rsidRDefault="00020DC7">
      <w:bookmarkStart w:id="0" w:name="_GoBack"/>
      <w:bookmarkEnd w:id="0"/>
    </w:p>
    <w:sectPr w:rsidR="00020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t_sans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D659D"/>
    <w:multiLevelType w:val="multilevel"/>
    <w:tmpl w:val="18A4B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3A7FB2"/>
    <w:multiLevelType w:val="multilevel"/>
    <w:tmpl w:val="4B4AC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5846D6"/>
    <w:multiLevelType w:val="multilevel"/>
    <w:tmpl w:val="62B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A3576D"/>
    <w:multiLevelType w:val="multilevel"/>
    <w:tmpl w:val="7990F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9C08CA"/>
    <w:multiLevelType w:val="multilevel"/>
    <w:tmpl w:val="9640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94"/>
    <w:rsid w:val="00020DC7"/>
    <w:rsid w:val="00097242"/>
    <w:rsid w:val="002C1A54"/>
    <w:rsid w:val="004B68BD"/>
    <w:rsid w:val="00A53735"/>
    <w:rsid w:val="00C73E19"/>
    <w:rsid w:val="00CC4894"/>
    <w:rsid w:val="00CC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9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494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38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199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32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kc-ros.ru/metodika-rascheta-minimalnoj-stoimosti-uslug-po-oxra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kc-ros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2987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2020-08-26T09:47:00Z</dcterms:created>
  <dcterms:modified xsi:type="dcterms:W3CDTF">2020-08-26T10:08:00Z</dcterms:modified>
</cp:coreProperties>
</file>