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F42" w:rsidRDefault="00FE4F42" w:rsidP="00AB2979">
      <w:pPr>
        <w:tabs>
          <w:tab w:val="left" w:pos="6840"/>
        </w:tabs>
        <w:ind w:firstLine="360"/>
        <w:jc w:val="center"/>
        <w:rPr>
          <w:rFonts w:eastAsia="Times New Roman"/>
          <w:b/>
          <w:lang w:bidi="en-US"/>
        </w:rPr>
      </w:pPr>
    </w:p>
    <w:p w:rsidR="00A53297" w:rsidRPr="00A53297" w:rsidRDefault="00A53297" w:rsidP="00A53297">
      <w:pPr>
        <w:widowControl w:val="0"/>
        <w:contextualSpacing/>
        <w:jc w:val="center"/>
        <w:rPr>
          <w:rFonts w:ascii="Arial" w:eastAsia="Times New Roman" w:hAnsi="Arial" w:cs="Arial"/>
          <w:color w:val="000000"/>
          <w:sz w:val="10"/>
          <w:szCs w:val="10"/>
        </w:rPr>
      </w:pP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 w:rsidRPr="00A53297">
        <w:rPr>
          <w:rFonts w:ascii="Arial" w:eastAsia="Times New Roman" w:hAnsi="Arial" w:cs="Arial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7FD61CBD" wp14:editId="54196B15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2361600" cy="540000"/>
            <wp:effectExtent l="0" t="0" r="635" b="0"/>
            <wp:wrapThrough wrapText="bothSides">
              <wp:wrapPolygon edited="0">
                <wp:start x="0" y="0"/>
                <wp:lineTo x="0" y="20584"/>
                <wp:lineTo x="21432" y="20584"/>
                <wp:lineTo x="2143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6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53297" w:rsidRPr="00A53297" w:rsidTr="00E12188">
        <w:trPr>
          <w:trHeight w:val="709"/>
        </w:trPr>
        <w:tc>
          <w:tcPr>
            <w:tcW w:w="10205" w:type="dxa"/>
          </w:tcPr>
          <w:p w:rsidR="00A53297" w:rsidRPr="00A53297" w:rsidRDefault="00A53297" w:rsidP="00A53297">
            <w:pPr>
              <w:widowControl w:val="0"/>
              <w:spacing w:before="120"/>
              <w:jc w:val="center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53297">
              <w:rPr>
                <w:rFonts w:ascii="Arial" w:hAnsi="Arial" w:cs="Arial"/>
                <w:bCs/>
                <w:sz w:val="18"/>
                <w:szCs w:val="18"/>
              </w:rPr>
              <w:t>Акционерное общество «Дальневосточная распределительная сетевая компания»</w:t>
            </w:r>
          </w:p>
          <w:p w:rsidR="00A53297" w:rsidRPr="00A53297" w:rsidRDefault="00A53297" w:rsidP="00A53297">
            <w:pPr>
              <w:widowControl w:val="0"/>
              <w:jc w:val="center"/>
              <w:outlineLvl w:val="0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A53297" w:rsidRPr="00A53297" w:rsidRDefault="00A53297" w:rsidP="00A53297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53297">
              <w:rPr>
                <w:rFonts w:ascii="Arial" w:hAnsi="Arial" w:cs="Arial"/>
                <w:b/>
                <w:bCs/>
                <w:sz w:val="18"/>
                <w:szCs w:val="18"/>
              </w:rPr>
              <w:t>ФИЛИАЛ «ЭЛЕКТРИЧЕСКИЕ СЕТИ ЕВРЕЙСКОЙ АВТОНОМНОЙ ОБЛАСТИ»</w:t>
            </w:r>
          </w:p>
        </w:tc>
      </w:tr>
      <w:tr w:rsidR="00A53297" w:rsidRPr="00A53297" w:rsidTr="00E12188">
        <w:trPr>
          <w:trHeight w:val="227"/>
        </w:trPr>
        <w:tc>
          <w:tcPr>
            <w:tcW w:w="10205" w:type="dxa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A53297" w:rsidRPr="00A53297" w:rsidTr="00E12188">
              <w:trPr>
                <w:trHeight w:val="227"/>
              </w:trPr>
              <w:tc>
                <w:tcPr>
                  <w:tcW w:w="10173" w:type="dxa"/>
                  <w:vAlign w:val="center"/>
                </w:tcPr>
                <w:p w:rsidR="00A53297" w:rsidRPr="00A53297" w:rsidRDefault="00A53297" w:rsidP="00A53297">
                  <w:pPr>
                    <w:widowControl w:val="0"/>
                    <w:spacing w:before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3297">
                    <w:rPr>
                      <w:rFonts w:ascii="Arial" w:hAnsi="Arial" w:cs="Arial"/>
                      <w:sz w:val="18"/>
                      <w:szCs w:val="18"/>
                    </w:rPr>
                    <w:t>ул. Черноморская, д. 6, г. Биробиджан, Еврейская автономная область, Российская Федерация, 679011</w:t>
                  </w:r>
                </w:p>
              </w:tc>
            </w:tr>
            <w:tr w:rsidR="00A53297" w:rsidRPr="00A53297" w:rsidTr="00E12188">
              <w:trPr>
                <w:trHeight w:val="227"/>
              </w:trPr>
              <w:tc>
                <w:tcPr>
                  <w:tcW w:w="10173" w:type="dxa"/>
                  <w:vAlign w:val="center"/>
                </w:tcPr>
                <w:p w:rsidR="00A53297" w:rsidRPr="00A53297" w:rsidRDefault="00A53297" w:rsidP="00A53297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</w:pP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doc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@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eao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drsk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 xml:space="preserve">;  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http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://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www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drsk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A53297" w:rsidRPr="00A53297" w:rsidRDefault="00A53297" w:rsidP="00A53297">
            <w:pPr>
              <w:widowControl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E4F42" w:rsidRDefault="00FE4F42" w:rsidP="00AB2979">
      <w:pPr>
        <w:tabs>
          <w:tab w:val="left" w:pos="6840"/>
        </w:tabs>
        <w:ind w:firstLine="360"/>
        <w:jc w:val="center"/>
        <w:rPr>
          <w:rFonts w:eastAsia="Times New Roman"/>
          <w:b/>
          <w:lang w:bidi="en-US"/>
        </w:rPr>
      </w:pP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Утверждаю: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 xml:space="preserve">Заместитель директора - главного инженера 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филиала АО «ДРСК» «ЭС ЕАО»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 xml:space="preserve"> ____________________</w:t>
      </w:r>
      <w:proofErr w:type="spellStart"/>
      <w:r w:rsidRPr="00A53297">
        <w:rPr>
          <w:rFonts w:eastAsia="Times New Roman"/>
          <w:sz w:val="24"/>
          <w:szCs w:val="24"/>
          <w:lang w:bidi="en-US"/>
        </w:rPr>
        <w:t>В.М.Паршин</w:t>
      </w:r>
      <w:proofErr w:type="spellEnd"/>
    </w:p>
    <w:p w:rsidR="00FE4F42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«_</w:t>
      </w:r>
      <w:proofErr w:type="gramStart"/>
      <w:r w:rsidRPr="00A53297">
        <w:rPr>
          <w:rFonts w:eastAsia="Times New Roman"/>
          <w:sz w:val="24"/>
          <w:szCs w:val="24"/>
          <w:lang w:bidi="en-US"/>
        </w:rPr>
        <w:t>_»_</w:t>
      </w:r>
      <w:proofErr w:type="gramEnd"/>
      <w:r w:rsidRPr="00A53297">
        <w:rPr>
          <w:rFonts w:eastAsia="Times New Roman"/>
          <w:sz w:val="24"/>
          <w:szCs w:val="24"/>
          <w:lang w:bidi="en-US"/>
        </w:rPr>
        <w:t>_________________ 20</w:t>
      </w:r>
      <w:r w:rsidR="00CD6DAB">
        <w:rPr>
          <w:rFonts w:eastAsia="Times New Roman"/>
          <w:sz w:val="24"/>
          <w:szCs w:val="24"/>
          <w:lang w:bidi="en-US"/>
        </w:rPr>
        <w:t>20</w:t>
      </w:r>
      <w:r w:rsidRPr="00A53297">
        <w:rPr>
          <w:rFonts w:eastAsia="Times New Roman"/>
          <w:sz w:val="24"/>
          <w:szCs w:val="24"/>
          <w:lang w:bidi="en-US"/>
        </w:rPr>
        <w:t xml:space="preserve"> г.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D6DAB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 w:rsidRPr="00CD6DAB">
        <w:rPr>
          <w:rFonts w:eastAsia="Times New Roman"/>
          <w:spacing w:val="-6"/>
          <w:sz w:val="24"/>
          <w:szCs w:val="24"/>
        </w:rPr>
        <w:t>СТП-ВВ-</w:t>
      </w:r>
      <w:r w:rsidR="00951490">
        <w:rPr>
          <w:rFonts w:eastAsia="Times New Roman"/>
          <w:spacing w:val="-6"/>
          <w:sz w:val="24"/>
          <w:szCs w:val="24"/>
        </w:rPr>
        <w:t>100</w:t>
      </w:r>
      <w:r w:rsidRPr="00CD6DAB">
        <w:rPr>
          <w:rFonts w:eastAsia="Times New Roman"/>
          <w:spacing w:val="-6"/>
          <w:sz w:val="24"/>
          <w:szCs w:val="24"/>
        </w:rPr>
        <w:t>/10/0,4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</w:t>
      </w:r>
      <w:r w:rsidRPr="00CD6DAB">
        <w:rPr>
          <w:rFonts w:eastAsia="Times New Roman"/>
          <w:sz w:val="24"/>
          <w:szCs w:val="24"/>
          <w:lang w:bidi="en-US"/>
        </w:rPr>
        <w:t>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95149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СТП-ВВ-</w:t>
            </w:r>
            <w:r w:rsidR="00951490">
              <w:rPr>
                <w:rFonts w:eastAsia="Times New Roman"/>
                <w:spacing w:val="-6"/>
                <w:sz w:val="24"/>
                <w:szCs w:val="24"/>
              </w:rPr>
              <w:t>100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/10/0,4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Мощность КТП,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951490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100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Тип силового трансформатора, мощность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кВА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, количество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95149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ТМГ-</w:t>
            </w:r>
            <w:r w:rsidR="00951490">
              <w:rPr>
                <w:rFonts w:eastAsia="Times New Roman"/>
                <w:spacing w:val="-6"/>
                <w:sz w:val="24"/>
                <w:szCs w:val="24"/>
              </w:rPr>
              <w:t>100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/10/0,4 УХЛ1 (1)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Класс напряжения по стороне ВН,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DC78F0" w:rsidRDefault="00245E8B" w:rsidP="002B18CB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0</w:t>
            </w:r>
            <w:r w:rsidR="00CD6DAB">
              <w:rPr>
                <w:rFonts w:eastAsia="Times New Roman"/>
                <w:sz w:val="24"/>
                <w:szCs w:val="24"/>
              </w:rPr>
              <w:t>А</w:t>
            </w:r>
            <w:r w:rsidR="00DC78F0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245E8B">
              <w:rPr>
                <w:rFonts w:eastAsia="Times New Roman"/>
                <w:sz w:val="24"/>
                <w:szCs w:val="24"/>
                <w:lang w:val="en-US"/>
              </w:rPr>
              <w:t>ПТ-1.1-10-</w:t>
            </w:r>
            <w:r>
              <w:rPr>
                <w:rFonts w:eastAsia="Times New Roman"/>
                <w:sz w:val="24"/>
                <w:szCs w:val="24"/>
              </w:rPr>
              <w:t>10</w:t>
            </w:r>
            <w:r w:rsidRPr="00245E8B">
              <w:rPr>
                <w:rFonts w:eastAsia="Times New Roman"/>
                <w:sz w:val="24"/>
                <w:szCs w:val="24"/>
                <w:lang w:val="en-US"/>
              </w:rPr>
              <w:t>-20-У</w:t>
            </w:r>
            <w:r w:rsidR="002B18C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3B08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 xml:space="preserve">Выключатель ВА-88-33 3Р </w:t>
            </w:r>
            <w:r w:rsidR="003B082D">
              <w:rPr>
                <w:rFonts w:eastAsia="Times New Roman"/>
                <w:sz w:val="24"/>
                <w:szCs w:val="24"/>
              </w:rPr>
              <w:t>160</w:t>
            </w:r>
            <w:r w:rsidRPr="00CD6DAB"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A80C51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9" o:title=""/>
                </v:shape>
                <o:OLEObject Type="Embed" ProgID="Visio.Drawing.15" ShapeID="_x0000_i1025" DrawAspect="Content" ObjectID="_1656771931" r:id="rId10"/>
              </w:objec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3B082D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ВА-88-33-</w:t>
            </w:r>
            <w:r w:rsidR="003B082D">
              <w:rPr>
                <w:rFonts w:eastAsia="Times New Roman"/>
                <w:sz w:val="24"/>
                <w:szCs w:val="24"/>
              </w:rPr>
              <w:t>100</w:t>
            </w:r>
            <w:r w:rsidRPr="00CD6DAB">
              <w:rPr>
                <w:rFonts w:eastAsia="Times New Roman"/>
                <w:sz w:val="24"/>
                <w:szCs w:val="24"/>
              </w:rPr>
              <w:t>А (2)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0718E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</w:rPr>
            </w:pPr>
            <w:r w:rsidRPr="00523587">
              <w:rPr>
                <w:bCs/>
                <w:color w:val="333333"/>
                <w:sz w:val="24"/>
                <w:szCs w:val="24"/>
                <w:highlight w:val="yellow"/>
              </w:rPr>
              <w:t>CE303 S31 543 JAQVZ</w:t>
            </w:r>
          </w:p>
        </w:tc>
      </w:tr>
      <w:tr w:rsidR="00C0718E" w:rsidRPr="00CD6DAB" w:rsidTr="00BB7925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18E" w:rsidRPr="00CD6DAB" w:rsidRDefault="00C0718E" w:rsidP="00C0718E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718E" w:rsidRPr="00460F84" w:rsidRDefault="00C0718E" w:rsidP="00C0718E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460F84">
              <w:rPr>
                <w:rFonts w:eastAsia="Times New Roman"/>
                <w:sz w:val="24"/>
                <w:szCs w:val="24"/>
                <w:highlight w:val="yellow"/>
              </w:rPr>
              <w:t>Трансформаторы тока на  вводе 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18E" w:rsidRPr="00460F84" w:rsidRDefault="00C0718E" w:rsidP="00C0718E">
            <w:pPr>
              <w:jc w:val="center"/>
              <w:rPr>
                <w:sz w:val="24"/>
                <w:szCs w:val="24"/>
                <w:highlight w:val="yellow"/>
              </w:rPr>
            </w:pPr>
            <w:r w:rsidRPr="00460F84">
              <w:rPr>
                <w:sz w:val="24"/>
                <w:szCs w:val="24"/>
                <w:highlight w:val="yellow"/>
              </w:rPr>
              <w:t xml:space="preserve">Трансформатор тока ТШП-0,66 150/5А 5ВА класс 0,5S габарит 30 IEK, </w:t>
            </w:r>
            <w:proofErr w:type="spellStart"/>
            <w:r w:rsidRPr="00460F84">
              <w:rPr>
                <w:sz w:val="24"/>
                <w:szCs w:val="24"/>
                <w:highlight w:val="yellow"/>
              </w:rPr>
              <w:t>межповерочный</w:t>
            </w:r>
            <w:proofErr w:type="spellEnd"/>
            <w:r w:rsidRPr="00460F84">
              <w:rPr>
                <w:sz w:val="24"/>
                <w:szCs w:val="24"/>
                <w:highlight w:val="yellow"/>
              </w:rPr>
              <w:t xml:space="preserve"> интервал не менее 12 лет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  <w:bookmarkStart w:id="0" w:name="_GoBack"/>
            <w:bookmarkEnd w:id="0"/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ОПНп-10/12,0/10/550УХЛ1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7C7C4C">
        <w:rPr>
          <w:rFonts w:eastAsia="Times New Roman"/>
          <w:b/>
          <w:spacing w:val="-6"/>
          <w:sz w:val="24"/>
          <w:szCs w:val="24"/>
          <w:lang w:bidi="en-US"/>
        </w:rPr>
        <w:t>Дополнительные требования опросного листа</w:t>
      </w:r>
    </w:p>
    <w:p w:rsidR="0043303F" w:rsidRPr="007C7C4C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Раму под силовой трансформатор и сечение ошиновки РУ-0,4кВ выполнить с перспективой установки трансформатора ТМГ 100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8B188D">
        <w:rPr>
          <w:rFonts w:eastAsia="Times New Roman"/>
          <w:spacing w:val="-6"/>
          <w:sz w:val="24"/>
          <w:szCs w:val="24"/>
          <w:lang w:bidi="en-US"/>
        </w:rPr>
        <w:t>ТП должны изготавливаться в соответствии с ГОСТ 14695-80.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7C7C4C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3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4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Металлорукав должен быть надежно присоединен к корпусу шкафов.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</w:t>
      </w:r>
      <w:r>
        <w:rPr>
          <w:rFonts w:eastAsia="Times New Roman"/>
          <w:spacing w:val="-6"/>
          <w:sz w:val="24"/>
          <w:szCs w:val="24"/>
          <w:lang w:bidi="en-US"/>
        </w:rPr>
        <w:t>наконечников типа ТМЛ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. На вводах (шпильках) трансформаторов по стороне 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установить контактный зажим НН, материал – латунь ЛС-59-1, покрытие –О-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Вн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B02906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Не допустить присоединение в переходной пластине под одно болтовое крепление </w:t>
      </w:r>
      <w:r>
        <w:rPr>
          <w:rFonts w:eastAsia="Times New Roman"/>
          <w:spacing w:val="-6"/>
          <w:sz w:val="24"/>
          <w:szCs w:val="24"/>
          <w:lang w:val="en-US" w:bidi="en-US"/>
        </w:rPr>
        <w:t>PEN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тяжения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высоковольтного провода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 xml:space="preserve">Комплектация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линейн</w:t>
      </w:r>
      <w:r>
        <w:rPr>
          <w:rFonts w:eastAsia="Times New Roman"/>
          <w:spacing w:val="-6"/>
          <w:sz w:val="24"/>
          <w:szCs w:val="24"/>
          <w:lang w:bidi="en-US"/>
        </w:rPr>
        <w:t>ого разъединителя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 w:rsidRPr="007C7C4C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lastRenderedPageBreak/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разъединителя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Вал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Кронштейн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крепления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На </w:t>
      </w:r>
      <w:r w:rsidRPr="007C7C4C">
        <w:rPr>
          <w:rFonts w:eastAsia="Times New Roman"/>
          <w:spacing w:val="-6"/>
          <w:sz w:val="24"/>
          <w:szCs w:val="24"/>
        </w:rPr>
        <w:t>РЛНД-2-10/400 УХЛ1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ОПН-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установить на площадке конструкции разъединителя (вертикально), ОПН-0,4кВ установить на секцию шин 0,4кВ.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Монтажную схему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согласовать с филиалом АО «ДРСК» «ЭС ЕАО».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7C7C4C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Ввод и вывод ВЛ-0,4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должен быть выполнен через нижнюю плиту шкафа РУНН и шкафа АИСКУЭ (через уплотнительные муфты).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Соединение между шкафами учета и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выполнить в металлической гофрированной трубе.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Для ввода проводов, кабелей в шкаф учета и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применять муфты с наружной резьбой на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МВн-</w:t>
      </w:r>
      <w:proofErr w:type="gram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proofErr w:type="gram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(где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.-диаметр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) типа РЗ-Ц и РЗ-Ц-ПВХ предназначенных для закрепления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оболочке электрооборудования, состоящих из царапающей гайки, уплотнителя, корпуса,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оконцевателя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и накидной гайки с заземлением.</w:t>
      </w:r>
    </w:p>
    <w:p w:rsidR="0043303F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369EA">
        <w:rPr>
          <w:rFonts w:eastAsia="Times New Roman"/>
          <w:spacing w:val="-6"/>
          <w:sz w:val="24"/>
          <w:szCs w:val="24"/>
          <w:lang w:bidi="en-US"/>
        </w:rPr>
        <w:t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43303F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C0718E" w:rsidRDefault="00C0718E" w:rsidP="00C0718E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С</w:t>
      </w:r>
      <w:r w:rsidRPr="00957927">
        <w:rPr>
          <w:rFonts w:eastAsia="Times New Roman"/>
          <w:spacing w:val="-6"/>
          <w:sz w:val="24"/>
          <w:szCs w:val="24"/>
          <w:lang w:bidi="en-US"/>
        </w:rPr>
        <w:t xml:space="preserve">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957927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957927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C0718E" w:rsidRPr="00957927" w:rsidRDefault="00C0718E" w:rsidP="00C0718E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z w:val="24"/>
          <w:szCs w:val="24"/>
        </w:rPr>
        <w:t xml:space="preserve">Осуществить монтаж 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</w:rPr>
        <w:t xml:space="preserve"> в соответствии с рекомендациями производителя. Д</w:t>
      </w:r>
      <w:r w:rsidRPr="003B6E6F">
        <w:rPr>
          <w:rFonts w:eastAsia="Times New Roman"/>
          <w:sz w:val="24"/>
          <w:szCs w:val="24"/>
        </w:rPr>
        <w:t xml:space="preserve">ля осуществления питания и защиты </w:t>
      </w:r>
      <w:r>
        <w:rPr>
          <w:rFonts w:eastAsia="Times New Roman"/>
          <w:sz w:val="24"/>
          <w:szCs w:val="24"/>
        </w:rPr>
        <w:t xml:space="preserve">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 w:rsidRPr="003B6E6F">
        <w:rPr>
          <w:rFonts w:eastAsia="Times New Roman"/>
          <w:sz w:val="24"/>
          <w:szCs w:val="24"/>
        </w:rPr>
        <w:t xml:space="preserve"> установить </w:t>
      </w:r>
      <w:r>
        <w:rPr>
          <w:rFonts w:eastAsia="Times New Roman"/>
          <w:sz w:val="24"/>
          <w:szCs w:val="24"/>
        </w:rPr>
        <w:t>однофазный</w:t>
      </w:r>
      <w:r w:rsidRPr="003B6E6F">
        <w:rPr>
          <w:rFonts w:eastAsia="Times New Roman"/>
          <w:sz w:val="24"/>
          <w:szCs w:val="24"/>
        </w:rPr>
        <w:t xml:space="preserve"> автоматический выключатель 6 А, собранный в схему с ограничителями импульсных напряжений ОИН 1-275-12,5-II согласно ГОСТ Р 50345-99.</w:t>
      </w:r>
      <w:r>
        <w:rPr>
          <w:rFonts w:eastAsia="Times New Roman"/>
          <w:sz w:val="24"/>
          <w:szCs w:val="24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F839A0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</w:t>
      </w:r>
      <w:r>
        <w:rPr>
          <w:rFonts w:eastAsia="Times New Roman"/>
          <w:sz w:val="24"/>
          <w:szCs w:val="24"/>
        </w:rPr>
        <w:t>86 Р, ТУ 3424-005-84331564-08).</w:t>
      </w:r>
    </w:p>
    <w:p w:rsidR="00C0718E" w:rsidRDefault="00C0718E" w:rsidP="00C0718E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Осуществить монтаж интерфейсных линий связи (</w:t>
      </w:r>
      <w:r>
        <w:rPr>
          <w:rFonts w:eastAsia="Times New Roman"/>
          <w:sz w:val="24"/>
          <w:szCs w:val="24"/>
          <w:lang w:val="en-US"/>
        </w:rPr>
        <w:t>RS</w:t>
      </w:r>
      <w:r w:rsidRPr="00B34D23">
        <w:rPr>
          <w:rFonts w:eastAsia="Times New Roman"/>
          <w:sz w:val="24"/>
          <w:szCs w:val="24"/>
        </w:rPr>
        <w:t>-485)</w:t>
      </w:r>
      <w:r>
        <w:rPr>
          <w:rFonts w:eastAsia="Times New Roman"/>
          <w:sz w:val="24"/>
          <w:szCs w:val="24"/>
        </w:rPr>
        <w:t xml:space="preserve"> приборы учета – модем.</w:t>
      </w:r>
    </w:p>
    <w:p w:rsidR="00C0718E" w:rsidRDefault="00C0718E" w:rsidP="00C0718E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Смонтировать GSM-</w:t>
      </w:r>
      <w:r>
        <w:rPr>
          <w:rFonts w:eastAsia="Times New Roman"/>
          <w:sz w:val="24"/>
          <w:szCs w:val="24"/>
          <w:lang w:bidi="en-US"/>
        </w:rPr>
        <w:t xml:space="preserve">антенну врезную антивандальную </w:t>
      </w:r>
      <w:r w:rsidRPr="00F839A0">
        <w:rPr>
          <w:rFonts w:eastAsia="Times New Roman"/>
          <w:sz w:val="24"/>
          <w:szCs w:val="24"/>
          <w:lang w:bidi="en-US"/>
        </w:rPr>
        <w:t>Триада-ВА 996 SOTA,</w:t>
      </w:r>
      <w:r>
        <w:rPr>
          <w:rFonts w:eastAsia="Times New Roman"/>
          <w:sz w:val="24"/>
          <w:szCs w:val="24"/>
          <w:lang w:bidi="en-US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разъем типа SMA на внешнюю стенку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проникновения воды и пыли в зазор между кронштейном GSM-антенны и внешней стеной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</w:t>
      </w:r>
      <w:r>
        <w:rPr>
          <w:rFonts w:eastAsia="Times New Roman"/>
          <w:sz w:val="24"/>
          <w:szCs w:val="24"/>
          <w:lang w:bidi="en-US"/>
        </w:rPr>
        <w:t>С</w:t>
      </w:r>
      <w:r w:rsidRPr="00F839A0">
        <w:rPr>
          <w:rFonts w:eastAsia="Times New Roman"/>
          <w:sz w:val="24"/>
          <w:szCs w:val="24"/>
          <w:lang w:bidi="en-US"/>
        </w:rPr>
        <w:t xml:space="preserve">ТП). Присоединить GSM-антенну к </w:t>
      </w:r>
      <w:r>
        <w:rPr>
          <w:rFonts w:eastAsia="Times New Roman"/>
          <w:sz w:val="24"/>
          <w:szCs w:val="24"/>
        </w:rPr>
        <w:t xml:space="preserve">модему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bCs/>
          <w:color w:val="333333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</w:t>
      </w:r>
      <w:r>
        <w:rPr>
          <w:rFonts w:eastAsia="Times New Roman"/>
          <w:sz w:val="24"/>
          <w:szCs w:val="24"/>
          <w:lang w:bidi="en-US"/>
        </w:rPr>
        <w:t>е</w:t>
      </w:r>
      <w:r w:rsidRPr="00F839A0">
        <w:rPr>
          <w:rFonts w:eastAsia="Times New Roman"/>
          <w:sz w:val="24"/>
          <w:szCs w:val="24"/>
          <w:lang w:bidi="en-US"/>
        </w:rPr>
        <w:t xml:space="preserve"> кабел</w:t>
      </w:r>
      <w:r>
        <w:rPr>
          <w:rFonts w:eastAsia="Times New Roman"/>
          <w:sz w:val="24"/>
          <w:szCs w:val="24"/>
          <w:lang w:bidi="en-US"/>
        </w:rPr>
        <w:t>и</w:t>
      </w:r>
      <w:r w:rsidRPr="00F839A0">
        <w:rPr>
          <w:rFonts w:eastAsia="Times New Roman"/>
          <w:sz w:val="24"/>
          <w:szCs w:val="24"/>
          <w:lang w:bidi="en-US"/>
        </w:rPr>
        <w:t xml:space="preserve"> от механических повреждений.</w:t>
      </w:r>
    </w:p>
    <w:p w:rsidR="00C0718E" w:rsidRDefault="00C0718E" w:rsidP="00C0718E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</w:t>
      </w:r>
      <w:r>
        <w:rPr>
          <w:rFonts w:eastAsia="Times New Roman"/>
          <w:sz w:val="24"/>
          <w:szCs w:val="24"/>
          <w:lang w:bidi="en-US"/>
        </w:rPr>
        <w:t xml:space="preserve"> питания, интерфейсные линии связи, на шкаф учета 0,4 </w:t>
      </w:r>
      <w:proofErr w:type="spellStart"/>
      <w:r>
        <w:rPr>
          <w:rFonts w:eastAsia="Times New Roman"/>
          <w:sz w:val="24"/>
          <w:szCs w:val="24"/>
          <w:lang w:bidi="en-US"/>
        </w:rPr>
        <w:t>кВ.</w:t>
      </w:r>
      <w:proofErr w:type="spellEnd"/>
    </w:p>
    <w:p w:rsidR="00C0718E" w:rsidRDefault="00C0718E" w:rsidP="00C0718E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color w:val="000000"/>
          <w:sz w:val="24"/>
          <w:szCs w:val="24"/>
          <w:lang w:bidi="en-US"/>
        </w:rPr>
        <w:t xml:space="preserve">Компоновку шкафа </w:t>
      </w:r>
      <w:r w:rsidRPr="00F839A0">
        <w:rPr>
          <w:rFonts w:eastAsia="Times New Roman"/>
          <w:color w:val="000000"/>
          <w:sz w:val="24"/>
          <w:szCs w:val="24"/>
          <w:lang w:bidi="en-US"/>
        </w:rPr>
        <w:t>учета согласовать с филиалом АО «ДРСК» «ЭС ЕАО».</w:t>
      </w:r>
    </w:p>
    <w:p w:rsidR="00C0718E" w:rsidRDefault="00C0718E" w:rsidP="00C0718E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монтаже оборудования в шкафу учета предусмотреть возможность последующего монтажа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приборов учета на отходящие линии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без демонтажа (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перемонтажа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) установленного ранее оборудования.</w:t>
      </w:r>
    </w:p>
    <w:p w:rsidR="0043303F" w:rsidRPr="007C7C4C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7C7C4C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</w:p>
    <w:p w:rsidR="0043303F" w:rsidRPr="005E794D" w:rsidRDefault="0043303F" w:rsidP="0043303F">
      <w:pPr>
        <w:rPr>
          <w:rFonts w:eastAsia="Times New Roman"/>
          <w:i/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</w:t>
      </w:r>
      <w:proofErr w:type="spellStart"/>
      <w:r w:rsidRPr="007C7C4C">
        <w:rPr>
          <w:spacing w:val="-6"/>
          <w:sz w:val="24"/>
          <w:szCs w:val="24"/>
          <w:lang w:bidi="en-US"/>
        </w:rPr>
        <w:t>СПРиТП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В.Н.Грунин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СТЭ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  <w:t xml:space="preserve">           </w:t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О.А.Муллинов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СРЗАИ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>
        <w:rPr>
          <w:spacing w:val="-6"/>
          <w:sz w:val="24"/>
          <w:szCs w:val="24"/>
          <w:lang w:bidi="en-US"/>
        </w:rPr>
        <w:t>Ю</w:t>
      </w:r>
      <w:r w:rsidRPr="007C7C4C">
        <w:rPr>
          <w:spacing w:val="-6"/>
          <w:sz w:val="24"/>
          <w:szCs w:val="24"/>
          <w:lang w:bidi="en-US"/>
        </w:rPr>
        <w:t>.И.</w:t>
      </w:r>
      <w:r>
        <w:rPr>
          <w:spacing w:val="-6"/>
          <w:sz w:val="24"/>
          <w:szCs w:val="24"/>
          <w:lang w:bidi="en-US"/>
        </w:rPr>
        <w:t>Горбунов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</w:t>
      </w:r>
      <w:proofErr w:type="spellStart"/>
      <w:r w:rsidRPr="007C7C4C">
        <w:rPr>
          <w:spacing w:val="-6"/>
          <w:sz w:val="24"/>
          <w:szCs w:val="24"/>
          <w:lang w:bidi="en-US"/>
        </w:rPr>
        <w:t>СУиККЭ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В.И.Распутин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СИЗПИ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Г.В.Дубогрызов</w:t>
      </w:r>
      <w:proofErr w:type="spellEnd"/>
    </w:p>
    <w:p w:rsidR="00CD6DAB" w:rsidRDefault="00CD6DAB" w:rsidP="0043303F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A30A42" w:rsidRDefault="00A30A42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  <w:r w:rsidRPr="00A53297">
        <w:rPr>
          <w:rFonts w:eastAsia="Times New Roman"/>
          <w:i/>
          <w:sz w:val="20"/>
          <w:szCs w:val="20"/>
        </w:rPr>
        <w:t xml:space="preserve">Исп.: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</w:rPr>
        <w:instrText xml:space="preserve"> DOCVARIABLE  Исполнитель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proofErr w:type="spellStart"/>
      <w:r w:rsidRPr="00A53297">
        <w:rPr>
          <w:rFonts w:eastAsia="Times New Roman"/>
          <w:i/>
          <w:sz w:val="20"/>
          <w:szCs w:val="20"/>
        </w:rPr>
        <w:t>Косухин</w:t>
      </w:r>
      <w:proofErr w:type="spellEnd"/>
      <w:r w:rsidRPr="00A53297">
        <w:rPr>
          <w:rFonts w:eastAsia="Times New Roman"/>
          <w:i/>
          <w:sz w:val="20"/>
          <w:szCs w:val="20"/>
        </w:rPr>
        <w:t xml:space="preserve"> И.С.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  <w:lang w:val="en-US"/>
        </w:rPr>
      </w:pPr>
      <w:r w:rsidRPr="00A53297">
        <w:rPr>
          <w:rFonts w:eastAsia="Times New Roman"/>
          <w:i/>
          <w:sz w:val="20"/>
          <w:szCs w:val="20"/>
        </w:rPr>
        <w:t xml:space="preserve">Тел.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</w:rPr>
        <w:instrText xml:space="preserve"> DOCVARIABLE  ТелефонСлужАвтора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r w:rsidRPr="00C0718E">
        <w:rPr>
          <w:rFonts w:eastAsia="Times New Roman"/>
          <w:i/>
          <w:sz w:val="20"/>
          <w:szCs w:val="20"/>
          <w:lang w:val="en-US"/>
        </w:rPr>
        <w:t>+7 (4262</w:t>
      </w:r>
      <w:r w:rsidRPr="00A53297">
        <w:rPr>
          <w:rFonts w:eastAsia="Times New Roman"/>
          <w:i/>
          <w:sz w:val="20"/>
          <w:szCs w:val="20"/>
          <w:lang w:val="en-US"/>
        </w:rPr>
        <w:t xml:space="preserve">2) 23281, </w:t>
      </w:r>
      <w:proofErr w:type="spellStart"/>
      <w:r w:rsidRPr="00A53297">
        <w:rPr>
          <w:rFonts w:eastAsia="Times New Roman"/>
          <w:i/>
          <w:sz w:val="20"/>
          <w:szCs w:val="20"/>
        </w:rPr>
        <w:t>доб</w:t>
      </w:r>
      <w:proofErr w:type="spellEnd"/>
      <w:r w:rsidRPr="00A53297">
        <w:rPr>
          <w:rFonts w:eastAsia="Times New Roman"/>
          <w:i/>
          <w:sz w:val="20"/>
          <w:szCs w:val="20"/>
          <w:lang w:val="en-US"/>
        </w:rPr>
        <w:t>. 2281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  <w:lang w:val="en-US"/>
        </w:rPr>
      </w:pPr>
      <w:r w:rsidRPr="00A53297">
        <w:rPr>
          <w:rFonts w:eastAsia="Times New Roman"/>
          <w:i/>
          <w:sz w:val="20"/>
          <w:szCs w:val="20"/>
        </w:rPr>
        <w:t>Е</w:t>
      </w:r>
      <w:r w:rsidRPr="00A53297">
        <w:rPr>
          <w:rFonts w:eastAsia="Times New Roman"/>
          <w:i/>
          <w:sz w:val="20"/>
          <w:szCs w:val="20"/>
          <w:lang w:val="en-US"/>
        </w:rPr>
        <w:t xml:space="preserve">-mail: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  <w:lang w:val="en-US"/>
        </w:rPr>
        <w:instrText xml:space="preserve"> DOCVARIABLE  </w:instrText>
      </w:r>
      <w:r w:rsidRPr="00A53297">
        <w:rPr>
          <w:rFonts w:eastAsia="Times New Roman"/>
          <w:i/>
          <w:sz w:val="20"/>
          <w:szCs w:val="20"/>
        </w:rPr>
        <w:instrText>ПочтаСлужАвтора</w:instrText>
      </w:r>
      <w:r w:rsidRPr="00A53297">
        <w:rPr>
          <w:rFonts w:eastAsia="Times New Roman"/>
          <w:i/>
          <w:sz w:val="20"/>
          <w:szCs w:val="20"/>
          <w:lang w:val="en-US"/>
        </w:rPr>
        <w:instrText xml:space="preserve">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r w:rsidRPr="00A53297">
        <w:rPr>
          <w:rFonts w:eastAsia="Times New Roman"/>
          <w:i/>
          <w:sz w:val="20"/>
          <w:szCs w:val="20"/>
          <w:lang w:val="en-US"/>
        </w:rPr>
        <w:t>kosuhin_is@eao.drsk.ru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B2979">
      <w:pPr>
        <w:ind w:firstLine="708"/>
        <w:rPr>
          <w:rFonts w:eastAsia="Times New Roman"/>
          <w:color w:val="FF0000"/>
          <w:sz w:val="24"/>
          <w:szCs w:val="24"/>
          <w:lang w:val="en-US"/>
        </w:rPr>
      </w:pPr>
    </w:p>
    <w:sectPr w:rsidR="00A53297" w:rsidRPr="00A53297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2A5" w:rsidRDefault="00EF32A5" w:rsidP="00AB2979">
      <w:r>
        <w:separator/>
      </w:r>
    </w:p>
  </w:endnote>
  <w:endnote w:type="continuationSeparator" w:id="0">
    <w:p w:rsidR="00EF32A5" w:rsidRDefault="00EF32A5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2A5" w:rsidRDefault="00EF32A5" w:rsidP="00AB2979">
      <w:r>
        <w:separator/>
      </w:r>
    </w:p>
  </w:footnote>
  <w:footnote w:type="continuationSeparator" w:id="0">
    <w:p w:rsidR="00EF32A5" w:rsidRDefault="00EF32A5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870C0B" w:rsidP="00870C0B">
    <w:pPr>
      <w:pStyle w:val="a5"/>
      <w:jc w:val="right"/>
      <w:rPr>
        <w:sz w:val="16"/>
        <w:szCs w:val="16"/>
      </w:rPr>
    </w:pPr>
    <w:r w:rsidRPr="00870C0B">
      <w:rPr>
        <w:sz w:val="16"/>
        <w:szCs w:val="16"/>
      </w:rPr>
      <w:t>СТП-ВВ-</w:t>
    </w:r>
    <w:r w:rsidR="00951490">
      <w:rPr>
        <w:sz w:val="16"/>
        <w:szCs w:val="16"/>
      </w:rPr>
      <w:t>100</w:t>
    </w:r>
    <w:r w:rsidRPr="00870C0B">
      <w:rPr>
        <w:sz w:val="16"/>
        <w:szCs w:val="16"/>
      </w:rPr>
      <w:t>/10/0,4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82C424AE"/>
    <w:lvl w:ilvl="0" w:tplc="7842DE8E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A663A"/>
    <w:rsid w:val="0014701A"/>
    <w:rsid w:val="00153C8C"/>
    <w:rsid w:val="00210068"/>
    <w:rsid w:val="00245E8B"/>
    <w:rsid w:val="002667E5"/>
    <w:rsid w:val="0028202E"/>
    <w:rsid w:val="002B18CB"/>
    <w:rsid w:val="002E5D06"/>
    <w:rsid w:val="003B082D"/>
    <w:rsid w:val="003B6E75"/>
    <w:rsid w:val="0043303F"/>
    <w:rsid w:val="004F45A0"/>
    <w:rsid w:val="00527CA1"/>
    <w:rsid w:val="0057351D"/>
    <w:rsid w:val="0082541D"/>
    <w:rsid w:val="00870C0B"/>
    <w:rsid w:val="009474AD"/>
    <w:rsid w:val="00951490"/>
    <w:rsid w:val="00A30A42"/>
    <w:rsid w:val="00A53297"/>
    <w:rsid w:val="00A6501B"/>
    <w:rsid w:val="00A80C51"/>
    <w:rsid w:val="00AB2979"/>
    <w:rsid w:val="00B81227"/>
    <w:rsid w:val="00BA45AF"/>
    <w:rsid w:val="00BD5D11"/>
    <w:rsid w:val="00C0718E"/>
    <w:rsid w:val="00C44786"/>
    <w:rsid w:val="00CD6DAB"/>
    <w:rsid w:val="00DC5275"/>
    <w:rsid w:val="00DC78F0"/>
    <w:rsid w:val="00DE453E"/>
    <w:rsid w:val="00EF32A5"/>
    <w:rsid w:val="00F23BBD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07FB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_________Microsoft_Visio.vsd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204CE-CA24-423B-9A38-168CF5C5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Распутин Владимир Иванович</cp:lastModifiedBy>
  <cp:revision>22</cp:revision>
  <cp:lastPrinted>2020-02-27T23:28:00Z</cp:lastPrinted>
  <dcterms:created xsi:type="dcterms:W3CDTF">2020-02-27T23:29:00Z</dcterms:created>
  <dcterms:modified xsi:type="dcterms:W3CDTF">2020-07-20T07:39:00Z</dcterms:modified>
</cp:coreProperties>
</file>