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20</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 xml:space="preserve">Сергея Ивановича </w:t>
      </w:r>
      <w:proofErr w:type="spellStart"/>
      <w:r w:rsidRPr="00BD444C">
        <w:rPr>
          <w:b/>
          <w:sz w:val="24"/>
          <w:szCs w:val="24"/>
        </w:rPr>
        <w:t>Чутенко</w:t>
      </w:r>
      <w:proofErr w:type="spellEnd"/>
      <w:r w:rsidRPr="00BD444C">
        <w:rPr>
          <w:sz w:val="24"/>
          <w:szCs w:val="24"/>
        </w:rPr>
        <w:t>, действующего на основании доверенности № 5 от 01.01.2020г,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C2118D">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результатам </w:t>
      </w:r>
      <w:r w:rsidR="00422086" w:rsidRPr="00800F41">
        <w:rPr>
          <w:color w:val="auto"/>
        </w:rPr>
        <w:t>проведенной</w:t>
      </w:r>
      <w:r w:rsidR="001D2676" w:rsidRPr="00800F41">
        <w:rPr>
          <w:color w:val="auto"/>
        </w:rPr>
        <w:t xml:space="preserve"> Заказчиком </w:t>
      </w:r>
      <w:r w:rsidR="00422086" w:rsidRPr="00800F41">
        <w:rPr>
          <w:color w:val="auto"/>
        </w:rPr>
        <w:t>конкурентной процедуры</w:t>
      </w:r>
      <w:r w:rsidR="00A02E92" w:rsidRPr="00800F41">
        <w:rPr>
          <w:color w:val="auto"/>
        </w:rPr>
        <w:t xml:space="preserve"> </w:t>
      </w:r>
      <w:r w:rsidR="00FF200A" w:rsidRPr="00FF200A">
        <w:rPr>
          <w:color w:val="auto"/>
        </w:rPr>
        <w:t xml:space="preserve">на право заключения договора </w:t>
      </w:r>
      <w:r w:rsidR="00304134">
        <w:rPr>
          <w:b/>
          <w:color w:val="auto"/>
          <w:lang w:val="ru-RU"/>
        </w:rPr>
        <w:t xml:space="preserve"> </w:t>
      </w:r>
      <w:r w:rsidR="008C44B5" w:rsidRPr="008C44B5">
        <w:rPr>
          <w:b/>
          <w:i/>
          <w:color w:val="auto"/>
          <w:sz w:val="26"/>
          <w:szCs w:val="26"/>
        </w:rPr>
        <w:t>на ремонт ВЛ 35-110кВ</w:t>
      </w:r>
      <w:r w:rsidR="004A1F07" w:rsidRPr="00304134">
        <w:rPr>
          <w:b/>
          <w:color w:val="auto"/>
        </w:rPr>
        <w:t xml:space="preserve">, </w:t>
      </w:r>
      <w:r w:rsidR="00FB6618" w:rsidRPr="00FB6618">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w:t>
      </w:r>
      <w:proofErr w:type="spellStart"/>
      <w:r w:rsidR="000A04E5" w:rsidRPr="00800F41">
        <w:rPr>
          <w:lang w:eastAsia="en-US"/>
        </w:rPr>
        <w:t>дефектации</w:t>
      </w:r>
      <w:proofErr w:type="spellEnd"/>
      <w:r w:rsidR="000A04E5" w:rsidRPr="00800F41">
        <w:rPr>
          <w:lang w:eastAsia="en-US"/>
        </w:rPr>
        <w:t xml:space="preserve">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roofErr w:type="gramEnd"/>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 xml:space="preserve">или совокупность технологически связанных объектов основных средств Заказчика, в отношении которого </w:t>
      </w:r>
      <w:proofErr w:type="gramStart"/>
      <w:r w:rsidR="00817462" w:rsidRPr="00800F41">
        <w:rPr>
          <w:lang w:eastAsia="en-US"/>
        </w:rPr>
        <w:t>целесообразна</w:t>
      </w:r>
      <w:proofErr w:type="gramEnd"/>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w:t>
      </w:r>
      <w:proofErr w:type="gramEnd"/>
      <w:r w:rsidR="00DA71C4" w:rsidRPr="00800F41">
        <w:rPr>
          <w:b w:val="0"/>
          <w:snapToGrid/>
          <w:sz w:val="24"/>
          <w:szCs w:val="24"/>
          <w:lang w:val="ru-RU" w:eastAsia="en-US"/>
        </w:rPr>
        <w:t xml:space="preserve">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C2118D">
      <w:pPr>
        <w:pStyle w:val="af"/>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C2118D">
      <w:pPr>
        <w:pStyle w:val="af"/>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AD0382">
      <w:pPr>
        <w:pStyle w:val="af"/>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800F41">
        <w:rPr>
          <w:lang w:eastAsia="en-US"/>
        </w:rPr>
        <w:t>Пофамильные</w:t>
      </w:r>
      <w:proofErr w:type="spellEnd"/>
      <w:r w:rsidRPr="00800F41">
        <w:rPr>
          <w:lang w:eastAsia="en-US"/>
        </w:rPr>
        <w:t xml:space="preserve">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proofErr w:type="spellStart"/>
      <w:r w:rsidR="006F45AB" w:rsidRPr="00800F41">
        <w:rPr>
          <w:b w:val="0"/>
          <w:sz w:val="24"/>
          <w:szCs w:val="24"/>
          <w:lang w:eastAsia="ru-RU"/>
        </w:rPr>
        <w:t>езультат</w:t>
      </w:r>
      <w:r w:rsidR="00167B12" w:rsidRPr="00800F41">
        <w:rPr>
          <w:b w:val="0"/>
          <w:sz w:val="24"/>
          <w:szCs w:val="24"/>
          <w:lang w:val="ru-RU" w:eastAsia="ru-RU"/>
        </w:rPr>
        <w:t>е</w:t>
      </w:r>
      <w:proofErr w:type="spellEnd"/>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w:t>
      </w:r>
      <w:proofErr w:type="gramEnd"/>
      <w:r w:rsidR="00E64A42" w:rsidRPr="00800F41">
        <w:rPr>
          <w:b w:val="0"/>
          <w:sz w:val="24"/>
          <w:szCs w:val="24"/>
          <w:lang w:val="ru-RU" w:eastAsia="ru-RU"/>
        </w:rPr>
        <w:t xml:space="preserve"> </w:t>
      </w:r>
      <w:proofErr w:type="gramStart"/>
      <w:r w:rsidR="00E64A42" w:rsidRPr="00800F41">
        <w:rPr>
          <w:b w:val="0"/>
          <w:sz w:val="24"/>
          <w:szCs w:val="24"/>
          <w:lang w:val="ru-RU" w:eastAsia="ru-RU"/>
        </w:rPr>
        <w:t>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roofErr w:type="gramEnd"/>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proofErr w:type="gramStart"/>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roofErr w:type="gramEnd"/>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C2118D">
      <w:pPr>
        <w:pStyle w:val="af"/>
        <w:numPr>
          <w:ilvl w:val="0"/>
          <w:numId w:val="6"/>
        </w:numPr>
        <w:shd w:val="clear" w:color="auto" w:fill="FFFFFF"/>
        <w:tabs>
          <w:tab w:val="left" w:pos="284"/>
        </w:tabs>
        <w:ind w:left="0" w:firstLine="0"/>
        <w:jc w:val="center"/>
        <w:rPr>
          <w:b/>
          <w:bCs/>
        </w:rPr>
      </w:pPr>
      <w:r w:rsidRPr="00800F41">
        <w:rPr>
          <w:b/>
          <w:bCs/>
        </w:rPr>
        <w:t>Предмет Договора</w:t>
      </w:r>
    </w:p>
    <w:p w:rsidR="00B228E3" w:rsidRPr="00995D5B" w:rsidRDefault="004B090F" w:rsidP="00995D5B">
      <w:pPr>
        <w:pStyle w:val="a"/>
        <w:numPr>
          <w:ilvl w:val="0"/>
          <w:numId w:val="0"/>
        </w:numPr>
        <w:tabs>
          <w:tab w:val="left" w:pos="0"/>
          <w:tab w:val="left" w:pos="993"/>
        </w:tabs>
        <w:autoSpaceDE w:val="0"/>
        <w:autoSpaceDN w:val="0"/>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по </w:t>
      </w:r>
      <w:r w:rsidR="00FF200A" w:rsidRPr="00995D5B">
        <w:rPr>
          <w:b/>
          <w:bCs/>
        </w:rPr>
        <w:t>«</w:t>
      </w:r>
      <w:r w:rsidR="008C44B5">
        <w:rPr>
          <w:b/>
          <w:i/>
          <w:sz w:val="26"/>
          <w:szCs w:val="26"/>
        </w:rPr>
        <w:t>Р</w:t>
      </w:r>
      <w:r w:rsidR="008C44B5" w:rsidRPr="00303E32">
        <w:rPr>
          <w:b/>
          <w:i/>
          <w:sz w:val="26"/>
          <w:szCs w:val="26"/>
        </w:rPr>
        <w:t xml:space="preserve">емонт </w:t>
      </w:r>
      <w:proofErr w:type="gramStart"/>
      <w:r w:rsidR="008C44B5" w:rsidRPr="00303E32">
        <w:rPr>
          <w:b/>
          <w:i/>
          <w:sz w:val="26"/>
          <w:szCs w:val="26"/>
        </w:rPr>
        <w:t>ВЛ</w:t>
      </w:r>
      <w:proofErr w:type="gramEnd"/>
      <w:r w:rsidR="008C44B5" w:rsidRPr="00303E32">
        <w:rPr>
          <w:b/>
          <w:i/>
          <w:sz w:val="26"/>
          <w:szCs w:val="26"/>
        </w:rPr>
        <w:t xml:space="preserve"> 35-110кВ</w:t>
      </w:r>
      <w:r w:rsidR="00995D5B" w:rsidRPr="00995D5B">
        <w:rPr>
          <w:b/>
        </w:rPr>
        <w:t>»</w:t>
      </w:r>
      <w:r w:rsidR="00995D5B">
        <w:rPr>
          <w:b/>
        </w:rPr>
        <w:t xml:space="preserve"> </w:t>
      </w:r>
      <w:r w:rsidR="00226447" w:rsidRPr="00995D5B">
        <w:rPr>
          <w:bCs/>
        </w:rPr>
        <w:t xml:space="preserve">(далее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C2118D">
      <w:pPr>
        <w:pStyle w:val="af"/>
        <w:numPr>
          <w:ilvl w:val="1"/>
          <w:numId w:val="6"/>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8969A9" w:rsidRDefault="007066B4" w:rsidP="00884B5C">
      <w:pPr>
        <w:pStyle w:val="af"/>
        <w:numPr>
          <w:ilvl w:val="1"/>
          <w:numId w:val="6"/>
        </w:numPr>
        <w:shd w:val="clear" w:color="auto" w:fill="FFFFFF"/>
        <w:tabs>
          <w:tab w:val="left" w:pos="1134"/>
        </w:tabs>
        <w:ind w:left="0" w:firstLine="709"/>
        <w:jc w:val="both"/>
        <w:rPr>
          <w:bCs/>
        </w:rPr>
      </w:pPr>
      <w:r w:rsidRPr="00800F41">
        <w:rPr>
          <w:bCs/>
        </w:rPr>
        <w:t>Работ</w:t>
      </w:r>
      <w:r w:rsidR="007A0BA9" w:rsidRPr="00800F41">
        <w:rPr>
          <w:bCs/>
        </w:rPr>
        <w:t>ы по Договору</w:t>
      </w:r>
      <w:r w:rsidR="00376930" w:rsidRPr="00800F41">
        <w:rPr>
          <w:bCs/>
        </w:rPr>
        <w:t xml:space="preserve"> </w:t>
      </w:r>
      <w:r w:rsidR="007A0BA9" w:rsidRPr="00800F41">
        <w:rPr>
          <w:bCs/>
        </w:rPr>
        <w:t xml:space="preserve">выполняются </w:t>
      </w:r>
      <w:r w:rsidRPr="00800F41">
        <w:rPr>
          <w:bCs/>
        </w:rPr>
        <w:t xml:space="preserve">для нужд </w:t>
      </w:r>
      <w:r w:rsidR="00884B5C" w:rsidRPr="00800F41">
        <w:rPr>
          <w:bCs/>
        </w:rPr>
        <w:t xml:space="preserve">АО «ДРСК» «Приморские электрические сети», расположенного по адресу 690080, Российская Федерация, </w:t>
      </w:r>
      <w:r w:rsidR="00884B5C" w:rsidRPr="008969A9">
        <w:rPr>
          <w:bCs/>
        </w:rPr>
        <w:t>Приморский край, г. Владивосток, ул. Командорская, 13-а. ИНН 2801108200, КПП 253731001</w:t>
      </w:r>
      <w:r w:rsidR="00F75384" w:rsidRPr="008969A9">
        <w:rPr>
          <w:bCs/>
        </w:rPr>
        <w:t>.</w:t>
      </w:r>
      <w:r w:rsidR="002E3F6B" w:rsidRPr="008969A9">
        <w:rPr>
          <w:bCs/>
        </w:rPr>
        <w:t xml:space="preserve"> </w:t>
      </w:r>
    </w:p>
    <w:p w:rsidR="008C44B5" w:rsidRPr="008C44B5" w:rsidRDefault="00564CBE" w:rsidP="008C44B5">
      <w:pPr>
        <w:pStyle w:val="af"/>
        <w:numPr>
          <w:ilvl w:val="1"/>
          <w:numId w:val="6"/>
        </w:numPr>
        <w:shd w:val="clear" w:color="auto" w:fill="FFFFFF"/>
        <w:tabs>
          <w:tab w:val="left" w:pos="1134"/>
        </w:tabs>
        <w:rPr>
          <w:b/>
          <w:bCs/>
        </w:rPr>
      </w:pPr>
      <w:r w:rsidRPr="008C44B5">
        <w:rPr>
          <w:bCs/>
        </w:rPr>
        <w:t>Объект ремонта:</w:t>
      </w:r>
      <w:bookmarkStart w:id="5" w:name="_Ref361320424"/>
      <w:r w:rsidR="006535A3" w:rsidRPr="008C44B5">
        <w:rPr>
          <w:bCs/>
        </w:rPr>
        <w:t xml:space="preserve"> </w:t>
      </w:r>
    </w:p>
    <w:p w:rsidR="008C44B5" w:rsidRPr="008C44B5" w:rsidRDefault="008C44B5" w:rsidP="008C44B5">
      <w:pPr>
        <w:pStyle w:val="af"/>
        <w:numPr>
          <w:ilvl w:val="2"/>
          <w:numId w:val="6"/>
        </w:numPr>
        <w:shd w:val="clear" w:color="auto" w:fill="FFFFFF"/>
        <w:tabs>
          <w:tab w:val="left" w:pos="1134"/>
        </w:tabs>
        <w:ind w:left="1134" w:hanging="567"/>
        <w:rPr>
          <w:bCs/>
        </w:rPr>
      </w:pPr>
      <w:r w:rsidRPr="008C44B5">
        <w:rPr>
          <w:bCs/>
        </w:rPr>
        <w:t>Капитальный ремонт ВЛ-35 кВ "Рощино - Быт Незаметное - Производство Незаметное -</w:t>
      </w:r>
      <w:proofErr w:type="spellStart"/>
      <w:r w:rsidRPr="008C44B5">
        <w:rPr>
          <w:bCs/>
        </w:rPr>
        <w:t>Измайлиха</w:t>
      </w:r>
      <w:proofErr w:type="spellEnd"/>
      <w:r w:rsidRPr="008C44B5">
        <w:rPr>
          <w:bCs/>
        </w:rPr>
        <w:t>"- общей протяженностью 37,98 км) (наименование основных средств ВЛ-35кВ "Незаметное-</w:t>
      </w:r>
      <w:proofErr w:type="spellStart"/>
      <w:r w:rsidRPr="008C44B5">
        <w:rPr>
          <w:bCs/>
        </w:rPr>
        <w:t>Измайлиха</w:t>
      </w:r>
      <w:proofErr w:type="spellEnd"/>
      <w:r w:rsidRPr="008C44B5">
        <w:rPr>
          <w:bCs/>
        </w:rPr>
        <w:t>" 24,7 км</w:t>
      </w:r>
      <w:proofErr w:type="gramStart"/>
      <w:r w:rsidRPr="008C44B5">
        <w:rPr>
          <w:bCs/>
        </w:rPr>
        <w:t xml:space="preserve"> И</w:t>
      </w:r>
      <w:proofErr w:type="gramEnd"/>
      <w:r w:rsidRPr="008C44B5">
        <w:rPr>
          <w:bCs/>
        </w:rPr>
        <w:t xml:space="preserve">нв. № PR 0025661). Проходит по территории муниципального образования с. </w:t>
      </w:r>
      <w:proofErr w:type="spellStart"/>
      <w:r w:rsidRPr="008C44B5">
        <w:rPr>
          <w:bCs/>
        </w:rPr>
        <w:t>Вострецово</w:t>
      </w:r>
      <w:proofErr w:type="spellEnd"/>
      <w:r w:rsidRPr="008C44B5">
        <w:rPr>
          <w:bCs/>
        </w:rPr>
        <w:t xml:space="preserve"> Красноармейского района ПК. </w:t>
      </w:r>
    </w:p>
    <w:p w:rsidR="008C44B5" w:rsidRPr="008C44B5" w:rsidRDefault="008C44B5" w:rsidP="003332A5">
      <w:pPr>
        <w:pStyle w:val="af"/>
        <w:numPr>
          <w:ilvl w:val="2"/>
          <w:numId w:val="6"/>
        </w:numPr>
        <w:shd w:val="clear" w:color="auto" w:fill="FFFFFF"/>
        <w:tabs>
          <w:tab w:val="left" w:pos="1134"/>
        </w:tabs>
        <w:ind w:left="1134" w:hanging="567"/>
        <w:rPr>
          <w:bCs/>
        </w:rPr>
      </w:pPr>
      <w:r w:rsidRPr="008C44B5">
        <w:rPr>
          <w:bCs/>
        </w:rPr>
        <w:t xml:space="preserve">Капитальный ремонт </w:t>
      </w:r>
      <w:proofErr w:type="gramStart"/>
      <w:r w:rsidRPr="008C44B5">
        <w:rPr>
          <w:bCs/>
        </w:rPr>
        <w:t>ВЛ</w:t>
      </w:r>
      <w:proofErr w:type="gramEnd"/>
      <w:r w:rsidRPr="008C44B5">
        <w:rPr>
          <w:bCs/>
        </w:rPr>
        <w:t xml:space="preserve"> 35кВ «М - Черниговка» (наименование основных средств ВЛ-35 КВ М-ЧЕРНИГОВКА инв. № PR 0005841), проходит по территории Черниговского района ПК;</w:t>
      </w:r>
    </w:p>
    <w:p w:rsidR="00FF200A" w:rsidRPr="008C44B5" w:rsidRDefault="008C44B5" w:rsidP="003332A5">
      <w:pPr>
        <w:pStyle w:val="af"/>
        <w:numPr>
          <w:ilvl w:val="2"/>
          <w:numId w:val="6"/>
        </w:numPr>
        <w:shd w:val="clear" w:color="auto" w:fill="FFFFFF"/>
        <w:tabs>
          <w:tab w:val="left" w:pos="1134"/>
        </w:tabs>
        <w:ind w:left="1134" w:hanging="567"/>
        <w:rPr>
          <w:bCs/>
        </w:rPr>
      </w:pPr>
      <w:r w:rsidRPr="008C44B5">
        <w:rPr>
          <w:bCs/>
        </w:rPr>
        <w:lastRenderedPageBreak/>
        <w:t>Капитальный ремонт ВЛ-110кВ «Пушкинская-Раздольное» (наименование основных средств ВЛ-110кВ «Пушкинская-Раздольное» Инв. № PR 0025904)</w:t>
      </w:r>
      <w:proofErr w:type="gramStart"/>
      <w:r w:rsidRPr="008C44B5">
        <w:rPr>
          <w:bCs/>
        </w:rPr>
        <w:t>.</w:t>
      </w:r>
      <w:proofErr w:type="gramEnd"/>
      <w:r w:rsidRPr="008C44B5">
        <w:rPr>
          <w:bCs/>
        </w:rPr>
        <w:t xml:space="preserve"> </w:t>
      </w:r>
      <w:proofErr w:type="gramStart"/>
      <w:r w:rsidRPr="008C44B5">
        <w:rPr>
          <w:bCs/>
        </w:rPr>
        <w:t>п</w:t>
      </w:r>
      <w:proofErr w:type="gramEnd"/>
      <w:r w:rsidRPr="008C44B5">
        <w:rPr>
          <w:bCs/>
        </w:rPr>
        <w:t>роходит по территории с. Раздольное ПК</w:t>
      </w:r>
      <w:r w:rsidR="00FF200A" w:rsidRPr="008C44B5">
        <w:rPr>
          <w:bCs/>
        </w:rPr>
        <w:t>.</w:t>
      </w:r>
    </w:p>
    <w:p w:rsidR="008C44B5" w:rsidRPr="00995D5B" w:rsidRDefault="008C44B5" w:rsidP="003332A5">
      <w:pPr>
        <w:pStyle w:val="af"/>
        <w:shd w:val="clear" w:color="auto" w:fill="FFFFFF"/>
        <w:tabs>
          <w:tab w:val="left" w:pos="1134"/>
        </w:tabs>
        <w:ind w:left="1134"/>
        <w:rPr>
          <w:bCs/>
        </w:rPr>
      </w:pPr>
    </w:p>
    <w:p w:rsidR="004B090F" w:rsidRPr="008969A9" w:rsidRDefault="004B090F" w:rsidP="00CC7573">
      <w:pPr>
        <w:pStyle w:val="af"/>
        <w:numPr>
          <w:ilvl w:val="1"/>
          <w:numId w:val="6"/>
        </w:numPr>
        <w:shd w:val="clear" w:color="auto" w:fill="FFFFFF"/>
        <w:tabs>
          <w:tab w:val="left" w:pos="1134"/>
        </w:tabs>
        <w:spacing w:before="240"/>
        <w:ind w:left="0" w:firstLine="709"/>
        <w:jc w:val="both"/>
        <w:rPr>
          <w:bCs/>
        </w:rPr>
      </w:pPr>
      <w:r w:rsidRPr="008969A9">
        <w:rPr>
          <w:bCs/>
        </w:rPr>
        <w:t>Работ</w:t>
      </w:r>
      <w:r w:rsidR="00593E11" w:rsidRPr="008969A9">
        <w:rPr>
          <w:bCs/>
        </w:rPr>
        <w:t>ы</w:t>
      </w:r>
      <w:r w:rsidRPr="008969A9">
        <w:rPr>
          <w:bCs/>
        </w:rPr>
        <w:t xml:space="preserve"> выполня</w:t>
      </w:r>
      <w:r w:rsidR="00E42628" w:rsidRPr="008969A9">
        <w:rPr>
          <w:bCs/>
        </w:rPr>
        <w:t>ю</w:t>
      </w:r>
      <w:r w:rsidRPr="008969A9">
        <w:rPr>
          <w:bCs/>
        </w:rPr>
        <w:t>тся Подрядчиком в следующие сроки:</w:t>
      </w:r>
      <w:bookmarkEnd w:id="5"/>
    </w:p>
    <w:p w:rsidR="008C44B5" w:rsidRDefault="008C44B5" w:rsidP="008C44B5">
      <w:pPr>
        <w:pStyle w:val="af"/>
        <w:shd w:val="clear" w:color="auto" w:fill="FFFFFF"/>
        <w:tabs>
          <w:tab w:val="left" w:pos="1134"/>
        </w:tabs>
        <w:spacing w:before="120"/>
        <w:ind w:left="574"/>
        <w:rPr>
          <w:bCs/>
        </w:rPr>
      </w:pPr>
      <w:r w:rsidRPr="008C44B5">
        <w:rPr>
          <w:bCs/>
        </w:rPr>
        <w:t>Начало работ: с момента заключения договора, окончание работ – 30 сентября 2021г</w:t>
      </w:r>
      <w:r>
        <w:rPr>
          <w:bCs/>
        </w:rPr>
        <w:t>.</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AD1F56">
      <w:pPr>
        <w:pStyle w:val="af"/>
        <w:numPr>
          <w:ilvl w:val="1"/>
          <w:numId w:val="6"/>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1.5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C2118D">
      <w:pPr>
        <w:pStyle w:val="af"/>
        <w:numPr>
          <w:ilvl w:val="0"/>
          <w:numId w:val="6"/>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C2118D">
      <w:pPr>
        <w:pStyle w:val="af"/>
        <w:numPr>
          <w:ilvl w:val="1"/>
          <w:numId w:val="6"/>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C2118D">
      <w:pPr>
        <w:pStyle w:val="af"/>
        <w:numPr>
          <w:ilvl w:val="2"/>
          <w:numId w:val="6"/>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C2118D">
      <w:pPr>
        <w:pStyle w:val="af"/>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800F41">
        <w:rPr>
          <w:bCs/>
        </w:rPr>
        <w:t xml:space="preserve">В течение 3 (трех) рабочих дней </w:t>
      </w:r>
      <w:proofErr w:type="gramStart"/>
      <w:r w:rsidRPr="00800F41">
        <w:rPr>
          <w:bCs/>
        </w:rPr>
        <w:t>с даты вступления</w:t>
      </w:r>
      <w:proofErr w:type="gramEnd"/>
      <w:r w:rsidRPr="00800F41">
        <w:rPr>
          <w:bCs/>
        </w:rPr>
        <w:t xml:space="preserve">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C2118D">
      <w:pPr>
        <w:pStyle w:val="af"/>
        <w:numPr>
          <w:ilvl w:val="0"/>
          <w:numId w:val="85"/>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C2118D">
      <w:pPr>
        <w:pStyle w:val="af"/>
        <w:numPr>
          <w:ilvl w:val="0"/>
          <w:numId w:val="85"/>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6"/>
    <w:bookmarkEnd w:id="7"/>
    <w:bookmarkEnd w:id="8"/>
    <w:p w:rsidR="004A177B" w:rsidRPr="00800F41" w:rsidRDefault="004A177B" w:rsidP="004A177B">
      <w:pPr>
        <w:pStyle w:val="af"/>
        <w:numPr>
          <w:ilvl w:val="2"/>
          <w:numId w:val="6"/>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C2118D">
      <w:pPr>
        <w:pStyle w:val="af"/>
        <w:numPr>
          <w:ilvl w:val="2"/>
          <w:numId w:val="6"/>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 xml:space="preserve">ного и </w:t>
      </w:r>
      <w:proofErr w:type="spellStart"/>
      <w:r w:rsidR="0061451A" w:rsidRPr="00800F41">
        <w:rPr>
          <w:bCs/>
        </w:rPr>
        <w:t>внутриобъект</w:t>
      </w:r>
      <w:r w:rsidR="00281A56" w:rsidRPr="00800F41">
        <w:rPr>
          <w:bCs/>
        </w:rPr>
        <w:t>ово</w:t>
      </w:r>
      <w:r w:rsidR="0061451A" w:rsidRPr="00800F41">
        <w:rPr>
          <w:bCs/>
        </w:rPr>
        <w:t>го</w:t>
      </w:r>
      <w:proofErr w:type="spellEnd"/>
      <w:r w:rsidR="0061451A" w:rsidRPr="00800F41">
        <w:rPr>
          <w:bCs/>
        </w:rPr>
        <w:t xml:space="preserve"> режима З</w:t>
      </w:r>
      <w:r w:rsidRPr="00800F41">
        <w:rPr>
          <w:bCs/>
        </w:rPr>
        <w:t xml:space="preserve">аказчика. </w:t>
      </w:r>
    </w:p>
    <w:p w:rsidR="009C1B4E" w:rsidRPr="00800F41" w:rsidRDefault="009C1B4E" w:rsidP="00C2118D">
      <w:pPr>
        <w:pStyle w:val="af"/>
        <w:numPr>
          <w:ilvl w:val="2"/>
          <w:numId w:val="6"/>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C33C7E">
      <w:pPr>
        <w:pStyle w:val="af"/>
        <w:numPr>
          <w:ilvl w:val="2"/>
          <w:numId w:val="6"/>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20436F">
      <w:pPr>
        <w:pStyle w:val="af"/>
        <w:numPr>
          <w:ilvl w:val="2"/>
          <w:numId w:val="6"/>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70534">
      <w:pPr>
        <w:pStyle w:val="af"/>
        <w:numPr>
          <w:ilvl w:val="2"/>
          <w:numId w:val="6"/>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C2118D">
      <w:pPr>
        <w:pStyle w:val="af"/>
        <w:numPr>
          <w:ilvl w:val="1"/>
          <w:numId w:val="6"/>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C2118D">
      <w:pPr>
        <w:pStyle w:val="af"/>
        <w:numPr>
          <w:ilvl w:val="2"/>
          <w:numId w:val="6"/>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C2118D">
      <w:pPr>
        <w:pStyle w:val="af"/>
        <w:numPr>
          <w:ilvl w:val="2"/>
          <w:numId w:val="6"/>
        </w:numPr>
        <w:shd w:val="clear" w:color="auto" w:fill="FFFFFF"/>
        <w:tabs>
          <w:tab w:val="left" w:pos="1418"/>
        </w:tabs>
        <w:ind w:left="0" w:firstLine="709"/>
        <w:jc w:val="both"/>
        <w:rPr>
          <w:bCs/>
        </w:rPr>
      </w:pPr>
      <w:bookmarkStart w:id="9" w:name="_Ref361334652"/>
      <w:proofErr w:type="gramStart"/>
      <w:r w:rsidRPr="00800F41">
        <w:rPr>
          <w:bCs/>
        </w:rPr>
        <w:lastRenderedPageBreak/>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w:t>
      </w:r>
      <w:proofErr w:type="gramEnd"/>
      <w:r w:rsidR="00EE2D7A" w:rsidRPr="00800F41">
        <w:rPr>
          <w:bCs/>
        </w:rPr>
        <w:t xml:space="preserve">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9"/>
      <w:r w:rsidR="00035DB0" w:rsidRPr="00800F41">
        <w:rPr>
          <w:bCs/>
        </w:rPr>
        <w:t xml:space="preserve"> </w:t>
      </w:r>
    </w:p>
    <w:p w:rsidR="006329B9" w:rsidRPr="00800F41" w:rsidRDefault="00A40676" w:rsidP="00C2118D">
      <w:pPr>
        <w:pStyle w:val="af"/>
        <w:numPr>
          <w:ilvl w:val="2"/>
          <w:numId w:val="6"/>
        </w:numPr>
        <w:shd w:val="clear" w:color="auto" w:fill="FFFFFF"/>
        <w:tabs>
          <w:tab w:val="left" w:pos="1418"/>
        </w:tabs>
        <w:ind w:left="0" w:firstLine="709"/>
        <w:jc w:val="both"/>
        <w:rPr>
          <w:bCs/>
        </w:rPr>
      </w:pPr>
      <w:bookmarkStart w:id="10"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w:t>
      </w:r>
      <w:proofErr w:type="spellStart"/>
      <w:r w:rsidR="006329B9" w:rsidRPr="00800F41">
        <w:rPr>
          <w:bCs/>
        </w:rPr>
        <w:t>внутриобъект</w:t>
      </w:r>
      <w:r w:rsidR="0061451A" w:rsidRPr="00800F41">
        <w:rPr>
          <w:bCs/>
        </w:rPr>
        <w:t>о</w:t>
      </w:r>
      <w:r w:rsidR="00281A56" w:rsidRPr="00800F41">
        <w:rPr>
          <w:bCs/>
        </w:rPr>
        <w:t>во</w:t>
      </w:r>
      <w:r w:rsidR="0061451A" w:rsidRPr="00800F41">
        <w:rPr>
          <w:bCs/>
        </w:rPr>
        <w:t>г</w:t>
      </w:r>
      <w:r w:rsidR="006329B9" w:rsidRPr="00800F41">
        <w:rPr>
          <w:bCs/>
        </w:rPr>
        <w:t>о</w:t>
      </w:r>
      <w:proofErr w:type="spellEnd"/>
      <w:r w:rsidR="006329B9" w:rsidRPr="00800F41">
        <w:rPr>
          <w:bCs/>
        </w:rPr>
        <w:t xml:space="preserve">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0"/>
    </w:p>
    <w:p w:rsidR="003A4D80" w:rsidRPr="00800F41" w:rsidRDefault="003A4D80" w:rsidP="00D74000">
      <w:pPr>
        <w:pStyle w:val="af"/>
        <w:numPr>
          <w:ilvl w:val="2"/>
          <w:numId w:val="6"/>
        </w:numPr>
        <w:shd w:val="clear" w:color="auto" w:fill="FFFFFF"/>
        <w:tabs>
          <w:tab w:val="left" w:pos="1418"/>
        </w:tabs>
        <w:ind w:left="0" w:firstLine="709"/>
        <w:jc w:val="both"/>
        <w:rPr>
          <w:bCs/>
        </w:rPr>
      </w:pPr>
      <w:bookmarkStart w:id="11"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800F41">
        <w:rPr>
          <w:bCs/>
        </w:rPr>
        <w:t>обязательное к выполнению</w:t>
      </w:r>
      <w:proofErr w:type="gramEnd"/>
      <w:r w:rsidRPr="00800F41">
        <w:rPr>
          <w:bCs/>
        </w:rPr>
        <w:t xml:space="preserve"> Подрядчиком.</w:t>
      </w:r>
      <w:bookmarkEnd w:id="11"/>
      <w:r w:rsidR="00635687" w:rsidRPr="00800F41">
        <w:rPr>
          <w:bCs/>
        </w:rPr>
        <w:t xml:space="preserve"> </w:t>
      </w:r>
    </w:p>
    <w:p w:rsidR="00622A55" w:rsidRPr="00800F41" w:rsidRDefault="00622A55" w:rsidP="00D74000">
      <w:pPr>
        <w:pStyle w:val="af"/>
        <w:numPr>
          <w:ilvl w:val="2"/>
          <w:numId w:val="6"/>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D74000">
      <w:pPr>
        <w:pStyle w:val="af"/>
        <w:numPr>
          <w:ilvl w:val="2"/>
          <w:numId w:val="6"/>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C2118D">
      <w:pPr>
        <w:pStyle w:val="af"/>
        <w:numPr>
          <w:ilvl w:val="1"/>
          <w:numId w:val="6"/>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B63E68">
      <w:pPr>
        <w:pStyle w:val="af"/>
        <w:numPr>
          <w:ilvl w:val="2"/>
          <w:numId w:val="6"/>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00ECD">
      <w:pPr>
        <w:pStyle w:val="af"/>
        <w:numPr>
          <w:ilvl w:val="2"/>
          <w:numId w:val="6"/>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C4883">
      <w:pPr>
        <w:pStyle w:val="af"/>
        <w:numPr>
          <w:ilvl w:val="0"/>
          <w:numId w:val="101"/>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C4883">
      <w:pPr>
        <w:pStyle w:val="af"/>
        <w:numPr>
          <w:ilvl w:val="0"/>
          <w:numId w:val="101"/>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C2118D">
      <w:pPr>
        <w:pStyle w:val="af"/>
        <w:numPr>
          <w:ilvl w:val="2"/>
          <w:numId w:val="6"/>
        </w:numPr>
        <w:shd w:val="clear" w:color="auto" w:fill="FFFFFF"/>
        <w:tabs>
          <w:tab w:val="left" w:pos="1418"/>
        </w:tabs>
        <w:ind w:left="0" w:firstLine="567"/>
        <w:jc w:val="both"/>
        <w:rPr>
          <w:bCs/>
        </w:rPr>
      </w:pPr>
      <w:r w:rsidRPr="00800F41">
        <w:rPr>
          <w:bCs/>
        </w:rPr>
        <w:lastRenderedPageBreak/>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C2118D">
      <w:pPr>
        <w:pStyle w:val="af"/>
        <w:numPr>
          <w:ilvl w:val="2"/>
          <w:numId w:val="6"/>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 xml:space="preserve">дней </w:t>
      </w:r>
      <w:proofErr w:type="gramStart"/>
      <w:r w:rsidRPr="00800F41">
        <w:rPr>
          <w:bCs/>
        </w:rPr>
        <w:t>с даты</w:t>
      </w:r>
      <w:r w:rsidR="00A2642E" w:rsidRPr="00800F41">
        <w:rPr>
          <w:bCs/>
        </w:rPr>
        <w:t xml:space="preserve"> принятия</w:t>
      </w:r>
      <w:proofErr w:type="gramEnd"/>
      <w:r w:rsidR="00A2642E" w:rsidRPr="00800F41">
        <w:rPr>
          <w:bCs/>
        </w:rPr>
        <w:t xml:space="preserve">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83621D">
      <w:pPr>
        <w:pStyle w:val="af"/>
        <w:numPr>
          <w:ilvl w:val="2"/>
          <w:numId w:val="6"/>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83621D">
      <w:pPr>
        <w:pStyle w:val="af"/>
        <w:numPr>
          <w:ilvl w:val="0"/>
          <w:numId w:val="97"/>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8E3430">
      <w:pPr>
        <w:pStyle w:val="af"/>
        <w:numPr>
          <w:ilvl w:val="0"/>
          <w:numId w:val="97"/>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83621D">
      <w:pPr>
        <w:pStyle w:val="af"/>
        <w:numPr>
          <w:ilvl w:val="2"/>
          <w:numId w:val="6"/>
        </w:numPr>
        <w:shd w:val="clear" w:color="auto" w:fill="FFFFFF"/>
        <w:tabs>
          <w:tab w:val="left" w:pos="1418"/>
        </w:tabs>
        <w:ind w:left="0" w:firstLine="709"/>
        <w:jc w:val="both"/>
        <w:rPr>
          <w:bCs/>
        </w:rPr>
      </w:pPr>
      <w:proofErr w:type="gramStart"/>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w:t>
      </w:r>
      <w:proofErr w:type="gramEnd"/>
      <w:r w:rsidRPr="00800F41">
        <w:rPr>
          <w:bCs/>
        </w:rPr>
        <w:t xml:space="preserve"> соответствующего требования Заказчика. </w:t>
      </w:r>
    </w:p>
    <w:p w:rsidR="0083621D" w:rsidRPr="00800F41" w:rsidRDefault="0083621D" w:rsidP="0083621D">
      <w:pPr>
        <w:pStyle w:val="af"/>
        <w:numPr>
          <w:ilvl w:val="2"/>
          <w:numId w:val="6"/>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proofErr w:type="gramStart"/>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а также в разумный срок обеспечить получение</w:t>
      </w:r>
      <w:proofErr w:type="gramEnd"/>
      <w:r w:rsidRPr="00800F41">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00F41">
        <w:t>получить</w:t>
      </w:r>
      <w:proofErr w:type="gramEnd"/>
      <w:r w:rsidR="0083621D" w:rsidRPr="00800F41">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83621D">
      <w:pPr>
        <w:pStyle w:val="af"/>
        <w:numPr>
          <w:ilvl w:val="2"/>
          <w:numId w:val="6"/>
        </w:numPr>
        <w:shd w:val="clear" w:color="auto" w:fill="FFFFFF"/>
        <w:tabs>
          <w:tab w:val="left" w:pos="1418"/>
        </w:tabs>
        <w:ind w:left="0" w:firstLine="709"/>
        <w:jc w:val="both"/>
      </w:pPr>
      <w:r w:rsidRPr="00800F41">
        <w:t>Обеспечить:</w:t>
      </w:r>
    </w:p>
    <w:p w:rsidR="0083621D" w:rsidRPr="00800F41" w:rsidRDefault="0083621D" w:rsidP="0083621D">
      <w:pPr>
        <w:pStyle w:val="af"/>
        <w:numPr>
          <w:ilvl w:val="0"/>
          <w:numId w:val="98"/>
        </w:numPr>
        <w:shd w:val="clear" w:color="auto" w:fill="FFFFFF"/>
        <w:tabs>
          <w:tab w:val="left" w:pos="567"/>
        </w:tabs>
        <w:ind w:left="0" w:firstLine="709"/>
        <w:jc w:val="both"/>
        <w:rPr>
          <w:bCs/>
        </w:rPr>
      </w:pPr>
      <w:r w:rsidRPr="00800F41">
        <w:rPr>
          <w:bCs/>
        </w:rPr>
        <w:lastRenderedPageBreak/>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83621D">
      <w:pPr>
        <w:pStyle w:val="af"/>
        <w:numPr>
          <w:ilvl w:val="0"/>
          <w:numId w:val="98"/>
        </w:numPr>
        <w:shd w:val="clear" w:color="auto" w:fill="FFFFFF"/>
        <w:tabs>
          <w:tab w:val="left" w:pos="567"/>
          <w:tab w:val="left" w:pos="1418"/>
        </w:tabs>
        <w:ind w:left="0" w:firstLine="709"/>
        <w:jc w:val="both"/>
        <w:rPr>
          <w:bCs/>
        </w:rPr>
      </w:pPr>
      <w:r w:rsidRPr="00800F41">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800F41">
        <w:rPr>
          <w:bCs/>
        </w:rPr>
        <w:t>обеспечения договорных обязательств</w:t>
      </w:r>
      <w:r w:rsidRPr="00800F41">
        <w:t xml:space="preserve"> </w:t>
      </w:r>
      <w:r w:rsidRPr="00800F41">
        <w:rPr>
          <w:bCs/>
        </w:rPr>
        <w:t>стоимости выполнения Работ</w:t>
      </w:r>
      <w:proofErr w:type="gramEnd"/>
      <w:r w:rsidRPr="00800F41">
        <w:rPr>
          <w:bCs/>
        </w:rPr>
        <w:t xml:space="preserve"> по Договору;</w:t>
      </w:r>
    </w:p>
    <w:p w:rsidR="0083621D" w:rsidRPr="00800F41" w:rsidRDefault="0083621D" w:rsidP="0083621D">
      <w:pPr>
        <w:pStyle w:val="af"/>
        <w:numPr>
          <w:ilvl w:val="0"/>
          <w:numId w:val="98"/>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83621D">
      <w:pPr>
        <w:pStyle w:val="af"/>
        <w:numPr>
          <w:ilvl w:val="2"/>
          <w:numId w:val="6"/>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proofErr w:type="gramStart"/>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800F41">
        <w:t xml:space="preserve"> работу или иных документов, подтверждающих договорные отношения персонала с Подрядчиком</w:t>
      </w:r>
      <w:r w:rsidRPr="00800F41">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800F41">
        <w:rPr>
          <w:bCs/>
        </w:rPr>
        <w:t>гос</w:t>
      </w:r>
      <w:proofErr w:type="gramStart"/>
      <w:r w:rsidRPr="00800F41">
        <w:rPr>
          <w:bCs/>
        </w:rPr>
        <w:t>.н</w:t>
      </w:r>
      <w:proofErr w:type="gramEnd"/>
      <w:r w:rsidRPr="00800F41">
        <w:rPr>
          <w:bCs/>
        </w:rPr>
        <w:t>омер</w:t>
      </w:r>
      <w:proofErr w:type="spellEnd"/>
      <w:r w:rsidRPr="00800F41">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proofErr w:type="gramStart"/>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83621D">
      <w:pPr>
        <w:pStyle w:val="af"/>
        <w:numPr>
          <w:ilvl w:val="2"/>
          <w:numId w:val="6"/>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rPr>
          <w:bCs/>
        </w:rPr>
        <w:t xml:space="preserve">В случаях, установленных правилами пропускного и </w:t>
      </w:r>
      <w:proofErr w:type="spellStart"/>
      <w:r w:rsidRPr="00800F41">
        <w:rPr>
          <w:bCs/>
        </w:rPr>
        <w:t>внутриобъектового</w:t>
      </w:r>
      <w:proofErr w:type="spellEnd"/>
      <w:r w:rsidRPr="00800F41">
        <w:rPr>
          <w:bCs/>
        </w:rPr>
        <w:t xml:space="preserve"> режима Заказчика, предварительно согласовать с Заказчиком </w:t>
      </w:r>
      <w:proofErr w:type="spellStart"/>
      <w:r w:rsidRPr="00800F41">
        <w:rPr>
          <w:bCs/>
        </w:rPr>
        <w:t>пофамильные</w:t>
      </w:r>
      <w:proofErr w:type="spellEnd"/>
      <w:r w:rsidRPr="00800F41">
        <w:rPr>
          <w:bCs/>
        </w:rPr>
        <w:t xml:space="preserve"> списки персонала, задействованного при производстве Работ.</w:t>
      </w:r>
    </w:p>
    <w:p w:rsidR="0083621D" w:rsidRPr="00800F41" w:rsidRDefault="0083621D" w:rsidP="0083621D">
      <w:pPr>
        <w:pStyle w:val="af"/>
        <w:numPr>
          <w:ilvl w:val="2"/>
          <w:numId w:val="6"/>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83621D">
      <w:pPr>
        <w:pStyle w:val="af"/>
        <w:numPr>
          <w:ilvl w:val="2"/>
          <w:numId w:val="6"/>
        </w:numPr>
        <w:shd w:val="clear" w:color="auto" w:fill="FFFFFF"/>
        <w:tabs>
          <w:tab w:val="left" w:pos="1418"/>
        </w:tabs>
        <w:ind w:left="0" w:firstLine="710"/>
        <w:jc w:val="both"/>
        <w:rPr>
          <w:bCs/>
        </w:rPr>
      </w:pPr>
      <w:r w:rsidRPr="00800F41">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800F41">
        <w:rPr>
          <w:bCs/>
        </w:rPr>
        <w:t>осуществление</w:t>
      </w:r>
      <w:proofErr w:type="gramEnd"/>
      <w:r w:rsidRPr="00800F41">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rPr>
          <w:bCs/>
        </w:rPr>
        <w:lastRenderedPageBreak/>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w:t>
      </w:r>
      <w:proofErr w:type="gramStart"/>
      <w:r w:rsidRPr="00800F41">
        <w:rPr>
          <w:bCs/>
        </w:rPr>
        <w:t>с даты получения</w:t>
      </w:r>
      <w:proofErr w:type="gramEnd"/>
      <w:r w:rsidRPr="00800F41">
        <w:rPr>
          <w:bCs/>
        </w:rPr>
        <w:t xml:space="preserve"> соответствующего письменного требования.</w:t>
      </w:r>
    </w:p>
    <w:p w:rsidR="0083621D" w:rsidRPr="00800F41" w:rsidRDefault="0083621D" w:rsidP="0083621D">
      <w:pPr>
        <w:pStyle w:val="af"/>
        <w:numPr>
          <w:ilvl w:val="2"/>
          <w:numId w:val="6"/>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83621D">
      <w:pPr>
        <w:pStyle w:val="af"/>
        <w:numPr>
          <w:ilvl w:val="2"/>
          <w:numId w:val="6"/>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83621D">
      <w:pPr>
        <w:pStyle w:val="af"/>
        <w:numPr>
          <w:ilvl w:val="2"/>
          <w:numId w:val="6"/>
        </w:numPr>
        <w:shd w:val="clear" w:color="auto" w:fill="FFFFFF"/>
        <w:tabs>
          <w:tab w:val="left" w:pos="1418"/>
        </w:tabs>
        <w:ind w:left="0" w:firstLine="710"/>
        <w:jc w:val="both"/>
        <w:rPr>
          <w:bCs/>
        </w:rPr>
      </w:pPr>
      <w:r w:rsidRPr="00800F41">
        <w:rPr>
          <w:bCs/>
        </w:rPr>
        <w:t xml:space="preserve">Выполнять полученные в ходе исполнения Договора указания </w:t>
      </w:r>
      <w:proofErr w:type="gramStart"/>
      <w:r w:rsidRPr="00800F41">
        <w:rPr>
          <w:bCs/>
        </w:rPr>
        <w:t>Заказчика</w:t>
      </w:r>
      <w:proofErr w:type="gramEnd"/>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В случае</w:t>
      </w:r>
      <w:proofErr w:type="gramStart"/>
      <w:r w:rsidRPr="00800F41">
        <w:rPr>
          <w:bCs/>
          <w:sz w:val="24"/>
          <w:szCs w:val="24"/>
        </w:rPr>
        <w:t>,</w:t>
      </w:r>
      <w:proofErr w:type="gramEnd"/>
      <w:r w:rsidRPr="00800F41">
        <w:rPr>
          <w:bCs/>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83621D">
      <w:pPr>
        <w:pStyle w:val="af"/>
        <w:numPr>
          <w:ilvl w:val="3"/>
          <w:numId w:val="6"/>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83621D">
      <w:pPr>
        <w:pStyle w:val="af"/>
        <w:numPr>
          <w:ilvl w:val="3"/>
          <w:numId w:val="6"/>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83621D">
      <w:pPr>
        <w:pStyle w:val="af"/>
        <w:numPr>
          <w:ilvl w:val="3"/>
          <w:numId w:val="6"/>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w:t>
      </w:r>
      <w:proofErr w:type="gramStart"/>
      <w:r w:rsidRPr="00800F41">
        <w:rPr>
          <w:bCs/>
        </w:rPr>
        <w:t>е</w:t>
      </w:r>
      <w:proofErr w:type="gramEnd"/>
      <w:r w:rsidRPr="00800F41">
        <w:rPr>
          <w:bCs/>
        </w:rPr>
        <w:t xml:space="preserve"> освобождения или ограничения своей ответственности по Договору.</w:t>
      </w:r>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83621D">
      <w:pPr>
        <w:pStyle w:val="af"/>
        <w:numPr>
          <w:ilvl w:val="0"/>
          <w:numId w:val="99"/>
        </w:numPr>
        <w:ind w:left="0" w:right="23" w:firstLine="709"/>
        <w:jc w:val="both"/>
      </w:pPr>
      <w:r w:rsidRPr="00800F41">
        <w:t>аварии – в течение 2 (двух) часов;</w:t>
      </w:r>
    </w:p>
    <w:p w:rsidR="0083621D" w:rsidRPr="00800F41" w:rsidRDefault="0083621D" w:rsidP="0083621D">
      <w:pPr>
        <w:pStyle w:val="af"/>
        <w:numPr>
          <w:ilvl w:val="0"/>
          <w:numId w:val="99"/>
        </w:numPr>
        <w:ind w:left="0" w:right="23" w:firstLine="709"/>
        <w:jc w:val="both"/>
      </w:pPr>
      <w:proofErr w:type="gramStart"/>
      <w:r w:rsidRPr="00800F41">
        <w:t>любом</w:t>
      </w:r>
      <w:proofErr w:type="gramEnd"/>
      <w:r w:rsidRPr="00800F41">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83621D">
      <w:pPr>
        <w:pStyle w:val="af"/>
        <w:numPr>
          <w:ilvl w:val="0"/>
          <w:numId w:val="99"/>
        </w:numPr>
        <w:ind w:left="0" w:right="23" w:firstLine="709"/>
        <w:jc w:val="both"/>
      </w:pPr>
      <w:proofErr w:type="gramStart"/>
      <w:r w:rsidRPr="00800F41">
        <w:lastRenderedPageBreak/>
        <w:t>хищении</w:t>
      </w:r>
      <w:proofErr w:type="gramEnd"/>
      <w:r w:rsidRPr="00800F41">
        <w:t xml:space="preserve">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83621D">
      <w:pPr>
        <w:pStyle w:val="af"/>
        <w:numPr>
          <w:ilvl w:val="0"/>
          <w:numId w:val="99"/>
        </w:numPr>
        <w:ind w:left="0" w:right="23" w:firstLine="709"/>
        <w:jc w:val="both"/>
      </w:pPr>
      <w:proofErr w:type="gramStart"/>
      <w:r w:rsidRPr="00800F41">
        <w:t>арест</w:t>
      </w:r>
      <w:r w:rsidR="008C084D" w:rsidRPr="00800F41">
        <w:t>е</w:t>
      </w:r>
      <w:proofErr w:type="gramEnd"/>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83621D">
      <w:pPr>
        <w:pStyle w:val="af"/>
        <w:numPr>
          <w:ilvl w:val="0"/>
          <w:numId w:val="99"/>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w:t>
      </w:r>
      <w:proofErr w:type="gramStart"/>
      <w:r w:rsidR="0083621D" w:rsidRPr="00800F41">
        <w:t>ств Ст</w:t>
      </w:r>
      <w:proofErr w:type="gramEnd"/>
      <w:r w:rsidR="0083621D" w:rsidRPr="00800F41">
        <w:t>орон по Договору – в течение 24 (двадцати четырех) часов;</w:t>
      </w:r>
    </w:p>
    <w:p w:rsidR="0083621D" w:rsidRPr="00800F41" w:rsidRDefault="008C084D" w:rsidP="0083621D">
      <w:pPr>
        <w:pStyle w:val="af"/>
        <w:numPr>
          <w:ilvl w:val="0"/>
          <w:numId w:val="99"/>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83621D">
      <w:pPr>
        <w:pStyle w:val="af"/>
        <w:numPr>
          <w:ilvl w:val="2"/>
          <w:numId w:val="6"/>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83621D">
      <w:pPr>
        <w:pStyle w:val="af"/>
        <w:numPr>
          <w:ilvl w:val="2"/>
          <w:numId w:val="6"/>
        </w:numPr>
        <w:shd w:val="clear" w:color="auto" w:fill="FFFFFF"/>
        <w:tabs>
          <w:tab w:val="left" w:pos="1418"/>
        </w:tabs>
        <w:ind w:left="0" w:firstLine="709"/>
        <w:jc w:val="both"/>
      </w:pPr>
      <w:proofErr w:type="gramStart"/>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w:t>
      </w:r>
      <w:proofErr w:type="gramStart"/>
      <w:r w:rsidRPr="00800F41">
        <w:rPr>
          <w:bCs/>
        </w:rPr>
        <w:t xml:space="preserve">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и/или</w:t>
      </w:r>
      <w:proofErr w:type="gramEnd"/>
      <w:r w:rsidR="009F6A79" w:rsidRPr="00800F41">
        <w:rPr>
          <w:bCs/>
        </w:rPr>
        <w:t xml:space="preserve"> </w:t>
      </w:r>
      <w:r w:rsidR="008C084D" w:rsidRPr="00800F41">
        <w:rPr>
          <w:bCs/>
        </w:rPr>
        <w:t xml:space="preserve">приемки </w:t>
      </w:r>
      <w:r w:rsidRPr="00800F41">
        <w:rPr>
          <w:bCs/>
        </w:rPr>
        <w:t>Скрытых работ.</w:t>
      </w:r>
    </w:p>
    <w:p w:rsidR="0083621D" w:rsidRPr="00800F41" w:rsidRDefault="0083621D" w:rsidP="0083621D">
      <w:pPr>
        <w:pStyle w:val="af"/>
        <w:numPr>
          <w:ilvl w:val="2"/>
          <w:numId w:val="6"/>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83621D">
      <w:pPr>
        <w:pStyle w:val="af"/>
        <w:numPr>
          <w:ilvl w:val="2"/>
          <w:numId w:val="6"/>
        </w:numPr>
        <w:shd w:val="clear" w:color="auto" w:fill="FFFFFF"/>
        <w:tabs>
          <w:tab w:val="left" w:pos="1418"/>
        </w:tabs>
        <w:ind w:left="0" w:firstLine="709"/>
        <w:jc w:val="both"/>
        <w:rPr>
          <w:bCs/>
        </w:rPr>
      </w:pPr>
      <w:proofErr w:type="gramStart"/>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w:t>
      </w:r>
      <w:proofErr w:type="gramEnd"/>
      <w:r w:rsidR="00C33C7E" w:rsidRPr="00800F41">
        <w:rPr>
          <w:bCs/>
        </w:rPr>
        <w:t xml:space="preserve">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800F41">
        <w:rPr>
          <w:bCs/>
        </w:rPr>
        <w:t xml:space="preserve"> (-</w:t>
      </w:r>
      <w:proofErr w:type="spellStart"/>
      <w:proofErr w:type="gramEnd"/>
      <w:r w:rsidRPr="00800F41">
        <w:rPr>
          <w:bCs/>
        </w:rPr>
        <w:t>ам</w:t>
      </w:r>
      <w:proofErr w:type="spellEnd"/>
      <w:r w:rsidRPr="00800F41">
        <w:rPr>
          <w:bCs/>
        </w:rPr>
        <w:t xml:space="preserve">) страхования. </w:t>
      </w:r>
    </w:p>
    <w:p w:rsidR="0083621D" w:rsidRPr="00800F41" w:rsidRDefault="00370534" w:rsidP="0083621D">
      <w:pPr>
        <w:pStyle w:val="af"/>
        <w:numPr>
          <w:ilvl w:val="2"/>
          <w:numId w:val="6"/>
        </w:numPr>
        <w:shd w:val="clear" w:color="auto" w:fill="FFFFFF"/>
        <w:tabs>
          <w:tab w:val="left" w:pos="1418"/>
        </w:tabs>
        <w:ind w:left="0" w:firstLine="710"/>
        <w:jc w:val="both"/>
        <w:rPr>
          <w:bCs/>
        </w:rPr>
      </w:pPr>
      <w:r w:rsidRPr="00800F41">
        <w:rPr>
          <w:bCs/>
        </w:rPr>
        <w:lastRenderedPageBreak/>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83621D">
      <w:pPr>
        <w:pStyle w:val="af"/>
        <w:numPr>
          <w:ilvl w:val="2"/>
          <w:numId w:val="6"/>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647653">
      <w:pPr>
        <w:pStyle w:val="af"/>
        <w:numPr>
          <w:ilvl w:val="2"/>
          <w:numId w:val="6"/>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C69DD">
      <w:pPr>
        <w:pStyle w:val="af"/>
        <w:numPr>
          <w:ilvl w:val="1"/>
          <w:numId w:val="6"/>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C69DD">
      <w:pPr>
        <w:pStyle w:val="af"/>
        <w:numPr>
          <w:ilvl w:val="2"/>
          <w:numId w:val="6"/>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C69DD">
      <w:pPr>
        <w:pStyle w:val="af"/>
        <w:numPr>
          <w:ilvl w:val="2"/>
          <w:numId w:val="6"/>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 xml:space="preserve">субподряда на 100 % (100 процентов) от Цены Договора, неся при этом ответственность за действия Субподрядчиков, как </w:t>
      </w:r>
      <w:proofErr w:type="gramStart"/>
      <w:r w:rsidR="003157E1" w:rsidRPr="00AF03F7">
        <w:rPr>
          <w:bCs/>
        </w:rPr>
        <w:t>за</w:t>
      </w:r>
      <w:proofErr w:type="gramEnd"/>
      <w:r w:rsidR="003157E1" w:rsidRPr="00AF03F7">
        <w:rPr>
          <w:bCs/>
        </w:rPr>
        <w:t xml:space="preserve">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C4883">
      <w:pPr>
        <w:pStyle w:val="af"/>
        <w:numPr>
          <w:ilvl w:val="0"/>
          <w:numId w:val="102"/>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C4883">
      <w:pPr>
        <w:pStyle w:val="af"/>
        <w:numPr>
          <w:ilvl w:val="0"/>
          <w:numId w:val="102"/>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370534">
      <w:pPr>
        <w:pStyle w:val="af"/>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800F41">
        <w:rPr>
          <w:bCs/>
        </w:rPr>
        <w:t>пофамильный</w:t>
      </w:r>
      <w:proofErr w:type="spellEnd"/>
      <w:r w:rsidRPr="00800F41">
        <w:rPr>
          <w:bCs/>
        </w:rPr>
        <w:t xml:space="preserve">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C4883">
      <w:pPr>
        <w:pStyle w:val="af"/>
        <w:numPr>
          <w:ilvl w:val="0"/>
          <w:numId w:val="102"/>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C4883">
      <w:pPr>
        <w:pStyle w:val="af"/>
        <w:numPr>
          <w:ilvl w:val="0"/>
          <w:numId w:val="102"/>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C69DD">
      <w:pPr>
        <w:pStyle w:val="af"/>
        <w:numPr>
          <w:ilvl w:val="1"/>
          <w:numId w:val="6"/>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C69DD">
      <w:pPr>
        <w:pStyle w:val="af"/>
        <w:numPr>
          <w:ilvl w:val="2"/>
          <w:numId w:val="6"/>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C69DD">
      <w:pPr>
        <w:pStyle w:val="af"/>
        <w:numPr>
          <w:ilvl w:val="2"/>
          <w:numId w:val="6"/>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C69DD">
      <w:pPr>
        <w:pStyle w:val="af"/>
        <w:numPr>
          <w:ilvl w:val="2"/>
          <w:numId w:val="6"/>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D949C5">
      <w:pPr>
        <w:pStyle w:val="af"/>
        <w:numPr>
          <w:ilvl w:val="0"/>
          <w:numId w:val="6"/>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B430B2">
      <w:pPr>
        <w:pStyle w:val="af"/>
        <w:numPr>
          <w:ilvl w:val="1"/>
          <w:numId w:val="6"/>
        </w:numPr>
        <w:shd w:val="clear" w:color="auto" w:fill="FFFFFF"/>
        <w:tabs>
          <w:tab w:val="left" w:pos="1134"/>
        </w:tabs>
        <w:ind w:left="0" w:firstLine="709"/>
        <w:jc w:val="both"/>
        <w:rPr>
          <w:bCs/>
        </w:rPr>
      </w:pPr>
      <w:bookmarkStart w:id="12"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2"/>
    <w:p w:rsidR="002B7627" w:rsidRPr="00800F41" w:rsidRDefault="00CB4AAE" w:rsidP="00E04A8A">
      <w:pPr>
        <w:pStyle w:val="af"/>
        <w:numPr>
          <w:ilvl w:val="1"/>
          <w:numId w:val="6"/>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 xml:space="preserve">все расходы и затраты Подрядчика </w:t>
      </w:r>
      <w:proofErr w:type="gramStart"/>
      <w:r w:rsidR="008E6AA9" w:rsidRPr="00800F41">
        <w:rPr>
          <w:bCs/>
        </w:rPr>
        <w:t>на</w:t>
      </w:r>
      <w:proofErr w:type="gramEnd"/>
      <w:r w:rsidR="002B7627" w:rsidRPr="00800F41">
        <w:rPr>
          <w:bCs/>
        </w:rPr>
        <w:t>:</w:t>
      </w:r>
    </w:p>
    <w:p w:rsidR="008F358A" w:rsidRPr="00800F41" w:rsidRDefault="0020436F" w:rsidP="005236AD">
      <w:pPr>
        <w:pStyle w:val="af"/>
        <w:numPr>
          <w:ilvl w:val="2"/>
          <w:numId w:val="6"/>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7313A9">
      <w:pPr>
        <w:pStyle w:val="af"/>
        <w:numPr>
          <w:ilvl w:val="2"/>
          <w:numId w:val="6"/>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E04A8A">
      <w:pPr>
        <w:pStyle w:val="af"/>
        <w:numPr>
          <w:ilvl w:val="2"/>
          <w:numId w:val="6"/>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E04A8A">
      <w:pPr>
        <w:pStyle w:val="af"/>
        <w:numPr>
          <w:ilvl w:val="2"/>
          <w:numId w:val="6"/>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E04A8A">
      <w:pPr>
        <w:pStyle w:val="af"/>
        <w:numPr>
          <w:ilvl w:val="2"/>
          <w:numId w:val="6"/>
        </w:numPr>
        <w:shd w:val="clear" w:color="auto" w:fill="FFFFFF"/>
        <w:tabs>
          <w:tab w:val="left" w:pos="1418"/>
        </w:tabs>
        <w:ind w:left="0" w:firstLine="709"/>
        <w:jc w:val="both"/>
      </w:pPr>
      <w:r w:rsidRPr="00800F41">
        <w:lastRenderedPageBreak/>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AC05B7">
      <w:pPr>
        <w:pStyle w:val="af"/>
        <w:numPr>
          <w:ilvl w:val="1"/>
          <w:numId w:val="6"/>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5F760E">
      <w:pPr>
        <w:pStyle w:val="af"/>
        <w:numPr>
          <w:ilvl w:val="1"/>
          <w:numId w:val="6"/>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AC05B7">
      <w:pPr>
        <w:pStyle w:val="af"/>
        <w:numPr>
          <w:ilvl w:val="1"/>
          <w:numId w:val="6"/>
        </w:numPr>
        <w:shd w:val="clear" w:color="auto" w:fill="FFFFFF"/>
        <w:tabs>
          <w:tab w:val="left" w:pos="1134"/>
        </w:tabs>
        <w:ind w:left="0" w:firstLine="709"/>
        <w:jc w:val="both"/>
        <w:rPr>
          <w:bCs/>
        </w:rPr>
      </w:pPr>
      <w:bookmarkStart w:id="13" w:name="_Ref361858588"/>
      <w:bookmarkStart w:id="14" w:name="_Ref361834675"/>
      <w:r w:rsidRPr="00800F41">
        <w:rPr>
          <w:bCs/>
        </w:rPr>
        <w:t>Оплата по Договору осуществляется Заказчиком в следующем порядке:</w:t>
      </w:r>
      <w:bookmarkEnd w:id="13"/>
      <w:bookmarkEnd w:id="14"/>
      <w:r w:rsidRPr="00800F41">
        <w:rPr>
          <w:bCs/>
        </w:rPr>
        <w:t xml:space="preserve"> </w:t>
      </w:r>
    </w:p>
    <w:p w:rsidR="00EB2FDF" w:rsidRPr="0022202B" w:rsidRDefault="00EB2FDF" w:rsidP="00EB2FDF">
      <w:pPr>
        <w:pStyle w:val="af"/>
        <w:numPr>
          <w:ilvl w:val="2"/>
          <w:numId w:val="6"/>
        </w:numPr>
        <w:shd w:val="clear" w:color="auto" w:fill="FFFFFF"/>
        <w:tabs>
          <w:tab w:val="left" w:pos="1418"/>
        </w:tabs>
        <w:ind w:left="0" w:firstLine="709"/>
        <w:jc w:val="both"/>
      </w:pPr>
      <w:bookmarkStart w:id="15" w:name="_Ref361834178"/>
      <w:bookmarkStart w:id="16"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w:t>
      </w:r>
      <w:proofErr w:type="gramStart"/>
      <w:r w:rsidRPr="0022202B">
        <w:t>с даты п</w:t>
      </w:r>
      <w:bookmarkStart w:id="17" w:name="_GoBack"/>
      <w:bookmarkEnd w:id="17"/>
      <w:r w:rsidRPr="0022202B">
        <w:t>одписания</w:t>
      </w:r>
      <w:proofErr w:type="gramEnd"/>
      <w:r w:rsidRPr="0022202B">
        <w:t xml:space="preserve">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916323">
      <w:pPr>
        <w:pStyle w:val="af"/>
        <w:numPr>
          <w:ilvl w:val="2"/>
          <w:numId w:val="6"/>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00F41">
        <w:t>с даты</w:t>
      </w:r>
      <w:proofErr w:type="gramEnd"/>
      <w:r w:rsidRPr="00800F41">
        <w:t xml:space="preserve"> фактического получения счета Заказчиком</w:t>
      </w:r>
      <w:r w:rsidR="008F6BCC" w:rsidRPr="00800F41">
        <w:t>.</w:t>
      </w:r>
    </w:p>
    <w:bookmarkEnd w:id="15"/>
    <w:p w:rsidR="00A162B1" w:rsidRPr="00800F41" w:rsidRDefault="00A162B1" w:rsidP="003E3523">
      <w:pPr>
        <w:pStyle w:val="af"/>
        <w:numPr>
          <w:ilvl w:val="1"/>
          <w:numId w:val="6"/>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w:t>
      </w:r>
      <w:proofErr w:type="gramStart"/>
      <w:r w:rsidRPr="00800F41">
        <w:rPr>
          <w:bCs/>
        </w:rPr>
        <w:t>дств с р</w:t>
      </w:r>
      <w:proofErr w:type="gramEnd"/>
      <w:r w:rsidRPr="00800F41">
        <w:rPr>
          <w:bCs/>
        </w:rPr>
        <w:t>асчетного счета Заказчика.</w:t>
      </w:r>
      <w:bookmarkStart w:id="18" w:name="_Ref361336647"/>
    </w:p>
    <w:bookmarkEnd w:id="18"/>
    <w:p w:rsidR="00A162B1" w:rsidRPr="00800F41" w:rsidRDefault="00A162B1" w:rsidP="00FE63D4">
      <w:pPr>
        <w:pStyle w:val="af"/>
        <w:numPr>
          <w:ilvl w:val="1"/>
          <w:numId w:val="6"/>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5236AD">
      <w:pPr>
        <w:pStyle w:val="af"/>
        <w:numPr>
          <w:ilvl w:val="1"/>
          <w:numId w:val="6"/>
        </w:numPr>
        <w:shd w:val="clear" w:color="auto" w:fill="FFFFFF"/>
        <w:tabs>
          <w:tab w:val="left" w:pos="1134"/>
        </w:tabs>
        <w:ind w:left="0" w:firstLine="709"/>
        <w:jc w:val="both"/>
        <w:rPr>
          <w:bCs/>
        </w:rPr>
      </w:pPr>
      <w:bookmarkStart w:id="19" w:name="_Ref361834251"/>
      <w:bookmarkEnd w:id="16"/>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C2118D">
      <w:pPr>
        <w:pStyle w:val="af"/>
        <w:numPr>
          <w:ilvl w:val="0"/>
          <w:numId w:val="6"/>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B1534">
      <w:pPr>
        <w:pStyle w:val="af"/>
        <w:numPr>
          <w:ilvl w:val="1"/>
          <w:numId w:val="6"/>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837B1E">
      <w:pPr>
        <w:pStyle w:val="af"/>
        <w:numPr>
          <w:ilvl w:val="0"/>
          <w:numId w:val="100"/>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6A790A">
      <w:pPr>
        <w:pStyle w:val="af"/>
        <w:numPr>
          <w:ilvl w:val="0"/>
          <w:numId w:val="100"/>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B07696">
      <w:pPr>
        <w:pStyle w:val="af"/>
        <w:numPr>
          <w:ilvl w:val="1"/>
          <w:numId w:val="6"/>
        </w:numPr>
        <w:shd w:val="clear" w:color="auto" w:fill="FFFFFF"/>
        <w:tabs>
          <w:tab w:val="left" w:pos="568"/>
          <w:tab w:val="left" w:pos="1134"/>
        </w:tabs>
        <w:ind w:left="0" w:firstLine="709"/>
        <w:jc w:val="both"/>
        <w:rPr>
          <w:bCs/>
        </w:rPr>
      </w:pPr>
      <w:proofErr w:type="gramStart"/>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roofErr w:type="gramEnd"/>
    </w:p>
    <w:p w:rsidR="00CF0D5E" w:rsidRPr="00800F41" w:rsidRDefault="00CE2084" w:rsidP="00B07696">
      <w:pPr>
        <w:pStyle w:val="af"/>
        <w:numPr>
          <w:ilvl w:val="1"/>
          <w:numId w:val="6"/>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w:t>
      </w:r>
      <w:proofErr w:type="gramStart"/>
      <w:r w:rsidR="00CF0D5E" w:rsidRPr="00800F41">
        <w:rPr>
          <w:bCs/>
        </w:rPr>
        <w:t>переноса</w:t>
      </w:r>
      <w:proofErr w:type="gramEnd"/>
      <w:r w:rsidR="00CF0D5E" w:rsidRPr="00800F41">
        <w:rPr>
          <w:bCs/>
        </w:rPr>
        <w:t xml:space="preserve">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B1534">
      <w:pPr>
        <w:pStyle w:val="af"/>
        <w:numPr>
          <w:ilvl w:val="1"/>
          <w:numId w:val="6"/>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B1534">
      <w:pPr>
        <w:pStyle w:val="af"/>
        <w:numPr>
          <w:ilvl w:val="1"/>
          <w:numId w:val="6"/>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lastRenderedPageBreak/>
        <w:t xml:space="preserve">соответствующих </w:t>
      </w:r>
      <w:r w:rsidRPr="00800F41">
        <w:rPr>
          <w:bCs/>
        </w:rPr>
        <w:t xml:space="preserve">расходов. Подрядчик обязан возместить указанные расходы в течение 10 (десяти) рабочих дней </w:t>
      </w:r>
      <w:proofErr w:type="gramStart"/>
      <w:r w:rsidRPr="00800F41">
        <w:rPr>
          <w:bCs/>
        </w:rPr>
        <w:t>с даты получения</w:t>
      </w:r>
      <w:proofErr w:type="gramEnd"/>
      <w:r w:rsidRPr="00800F41">
        <w:rPr>
          <w:bCs/>
        </w:rPr>
        <w:t xml:space="preserve">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B1534">
      <w:pPr>
        <w:pStyle w:val="af"/>
        <w:numPr>
          <w:ilvl w:val="1"/>
          <w:numId w:val="6"/>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B91D15">
      <w:pPr>
        <w:pStyle w:val="af"/>
        <w:numPr>
          <w:ilvl w:val="1"/>
          <w:numId w:val="6"/>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Pr>
          <w:bCs/>
        </w:rPr>
        <w:t>с даты получения</w:t>
      </w:r>
      <w:proofErr w:type="gramEnd"/>
      <w:r>
        <w:rPr>
          <w:bCs/>
        </w:rPr>
        <w:t xml:space="preserve">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2C49C3">
      <w:pPr>
        <w:pStyle w:val="af"/>
        <w:numPr>
          <w:ilvl w:val="0"/>
          <w:numId w:val="6"/>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2C49C3">
      <w:pPr>
        <w:pStyle w:val="af"/>
        <w:numPr>
          <w:ilvl w:val="1"/>
          <w:numId w:val="6"/>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2C49C3">
      <w:pPr>
        <w:pStyle w:val="af"/>
        <w:numPr>
          <w:ilvl w:val="0"/>
          <w:numId w:val="6"/>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2C49C3">
      <w:pPr>
        <w:pStyle w:val="af"/>
        <w:numPr>
          <w:ilvl w:val="1"/>
          <w:numId w:val="6"/>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w:t>
      </w:r>
      <w:proofErr w:type="gramStart"/>
      <w:r w:rsidR="0004135F" w:rsidRPr="00800F41">
        <w:rPr>
          <w:bCs/>
        </w:rPr>
        <w:t>в</w:t>
      </w:r>
      <w:proofErr w:type="gramEnd"/>
      <w:r w:rsidR="0004135F" w:rsidRPr="00800F41">
        <w:rPr>
          <w:bCs/>
        </w:rPr>
        <w:t xml:space="preserve"> </w:t>
      </w:r>
      <w:proofErr w:type="gramStart"/>
      <w:r w:rsidR="003226A2" w:rsidRPr="00800F41">
        <w:rPr>
          <w:bCs/>
        </w:rPr>
        <w:t>Договором</w:t>
      </w:r>
      <w:proofErr w:type="gramEnd"/>
      <w:r w:rsidR="003226A2" w:rsidRPr="00800F41">
        <w:rPr>
          <w:bCs/>
        </w:rPr>
        <w:t xml:space="preserve">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BC38EB">
      <w:pPr>
        <w:numPr>
          <w:ilvl w:val="1"/>
          <w:numId w:val="6"/>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9E5C6D">
      <w:pPr>
        <w:pStyle w:val="af"/>
        <w:numPr>
          <w:ilvl w:val="1"/>
          <w:numId w:val="6"/>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proofErr w:type="gramStart"/>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roofErr w:type="gramEnd"/>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2C49C3">
      <w:pPr>
        <w:pStyle w:val="af"/>
        <w:numPr>
          <w:ilvl w:val="1"/>
          <w:numId w:val="6"/>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2C49C3">
      <w:pPr>
        <w:pStyle w:val="af"/>
        <w:numPr>
          <w:ilvl w:val="1"/>
          <w:numId w:val="6"/>
        </w:numPr>
        <w:shd w:val="clear" w:color="auto" w:fill="FFFFFF"/>
        <w:tabs>
          <w:tab w:val="left" w:pos="1134"/>
        </w:tabs>
        <w:ind w:left="0" w:firstLine="709"/>
        <w:jc w:val="both"/>
        <w:rPr>
          <w:bCs/>
        </w:rPr>
      </w:pPr>
      <w:r w:rsidRPr="00800F41">
        <w:rPr>
          <w:bCs/>
        </w:rPr>
        <w:lastRenderedPageBreak/>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 xml:space="preserve">пропускного и </w:t>
      </w:r>
      <w:proofErr w:type="spellStart"/>
      <w:r w:rsidRPr="00800F41">
        <w:rPr>
          <w:bCs/>
        </w:rPr>
        <w:t>внутриобъек</w:t>
      </w:r>
      <w:r w:rsidR="003B74B1" w:rsidRPr="00800F41">
        <w:rPr>
          <w:bCs/>
        </w:rPr>
        <w:t>то</w:t>
      </w:r>
      <w:r w:rsidR="00281A56" w:rsidRPr="00800F41">
        <w:rPr>
          <w:bCs/>
        </w:rPr>
        <w:t>во</w:t>
      </w:r>
      <w:r w:rsidR="003B74B1" w:rsidRPr="00800F41">
        <w:rPr>
          <w:bCs/>
        </w:rPr>
        <w:t>го</w:t>
      </w:r>
      <w:proofErr w:type="spellEnd"/>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2C49C3">
      <w:pPr>
        <w:pStyle w:val="af"/>
        <w:numPr>
          <w:ilvl w:val="1"/>
          <w:numId w:val="6"/>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 xml:space="preserve">дней </w:t>
      </w:r>
      <w:proofErr w:type="gramStart"/>
      <w:r w:rsidR="003C49C7" w:rsidRPr="00800F41">
        <w:rPr>
          <w:bCs/>
        </w:rPr>
        <w:t>с даты получения</w:t>
      </w:r>
      <w:proofErr w:type="gramEnd"/>
      <w:r w:rsidR="003C49C7" w:rsidRPr="00800F41">
        <w:rPr>
          <w:bCs/>
        </w:rPr>
        <w:t xml:space="preserve">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2C49C3">
      <w:pPr>
        <w:pStyle w:val="af"/>
        <w:numPr>
          <w:ilvl w:val="1"/>
          <w:numId w:val="6"/>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w:t>
      </w:r>
      <w:proofErr w:type="gramStart"/>
      <w:r w:rsidRPr="00800F41">
        <w:rPr>
          <w:color w:val="000000"/>
          <w:sz w:val="24"/>
        </w:rPr>
        <w:t>,</w:t>
      </w:r>
      <w:proofErr w:type="gramEnd"/>
      <w:r w:rsidRPr="00800F41">
        <w:rPr>
          <w:color w:val="000000"/>
          <w:sz w:val="24"/>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4F52EA">
      <w:pPr>
        <w:pStyle w:val="af"/>
        <w:numPr>
          <w:ilvl w:val="1"/>
          <w:numId w:val="6"/>
        </w:numPr>
        <w:shd w:val="clear" w:color="auto" w:fill="FFFFFF"/>
        <w:tabs>
          <w:tab w:val="left" w:pos="993"/>
          <w:tab w:val="left" w:pos="1134"/>
        </w:tabs>
        <w:ind w:left="0" w:firstLine="709"/>
        <w:jc w:val="both"/>
        <w:rPr>
          <w:kern w:val="36"/>
        </w:rPr>
      </w:pPr>
      <w:proofErr w:type="gramStart"/>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roofErr w:type="gramEnd"/>
    </w:p>
    <w:p w:rsidR="00BC38EB" w:rsidRPr="00800F41" w:rsidRDefault="00BC38EB" w:rsidP="00BC38EB">
      <w:pPr>
        <w:pStyle w:val="af"/>
        <w:numPr>
          <w:ilvl w:val="1"/>
          <w:numId w:val="6"/>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2C49C3">
      <w:pPr>
        <w:pStyle w:val="af"/>
        <w:numPr>
          <w:ilvl w:val="1"/>
          <w:numId w:val="6"/>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2C49C3">
      <w:pPr>
        <w:pStyle w:val="af"/>
        <w:numPr>
          <w:ilvl w:val="1"/>
          <w:numId w:val="6"/>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2C49C3">
      <w:pPr>
        <w:pStyle w:val="af"/>
        <w:numPr>
          <w:ilvl w:val="1"/>
          <w:numId w:val="6"/>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70534">
      <w:pPr>
        <w:pStyle w:val="af"/>
        <w:numPr>
          <w:ilvl w:val="1"/>
          <w:numId w:val="6"/>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CC7573">
      <w:pPr>
        <w:pStyle w:val="af"/>
        <w:numPr>
          <w:ilvl w:val="1"/>
          <w:numId w:val="6"/>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2C49C3">
      <w:pPr>
        <w:pStyle w:val="af"/>
        <w:numPr>
          <w:ilvl w:val="0"/>
          <w:numId w:val="6"/>
        </w:numPr>
        <w:shd w:val="clear" w:color="auto" w:fill="FFFFFF"/>
        <w:tabs>
          <w:tab w:val="left" w:pos="284"/>
        </w:tabs>
        <w:ind w:left="0" w:firstLine="0"/>
        <w:jc w:val="center"/>
        <w:rPr>
          <w:b/>
          <w:bCs/>
        </w:rPr>
      </w:pPr>
      <w:r w:rsidRPr="00800F41">
        <w:rPr>
          <w:b/>
          <w:bCs/>
        </w:rPr>
        <w:lastRenderedPageBreak/>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647653">
      <w:pPr>
        <w:numPr>
          <w:ilvl w:val="1"/>
          <w:numId w:val="6"/>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w:t>
      </w:r>
      <w:proofErr w:type="gramStart"/>
      <w:r w:rsidRPr="00800F41">
        <w:rPr>
          <w:bCs/>
          <w:sz w:val="24"/>
          <w:szCs w:val="24"/>
        </w:rPr>
        <w:t xml:space="preserve">с даты </w:t>
      </w:r>
      <w:r w:rsidR="00A222BE" w:rsidRPr="00800F41">
        <w:rPr>
          <w:bCs/>
          <w:sz w:val="24"/>
          <w:szCs w:val="24"/>
        </w:rPr>
        <w:t>прекращения</w:t>
      </w:r>
      <w:proofErr w:type="gramEnd"/>
      <w:r w:rsidR="00A222BE" w:rsidRPr="00800F41">
        <w:rPr>
          <w:bCs/>
          <w:sz w:val="24"/>
          <w:szCs w:val="24"/>
        </w:rPr>
        <w:t xml:space="preserve">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2C49C3">
      <w:pPr>
        <w:pStyle w:val="af"/>
        <w:numPr>
          <w:ilvl w:val="1"/>
          <w:numId w:val="6"/>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proofErr w:type="gramStart"/>
      <w:r w:rsidRPr="00800F41">
        <w:rPr>
          <w:bCs/>
        </w:rPr>
        <w:t>расторжение</w:t>
      </w:r>
      <w:r w:rsidR="00A222BE" w:rsidRPr="00800F41">
        <w:rPr>
          <w:bCs/>
        </w:rPr>
        <w:t>)</w:t>
      </w:r>
      <w:r w:rsidRPr="00800F41">
        <w:rPr>
          <w:bCs/>
        </w:rPr>
        <w:t xml:space="preserve"> </w:t>
      </w:r>
      <w:proofErr w:type="gramEnd"/>
      <w:r w:rsidRPr="00800F41">
        <w:rPr>
          <w:bCs/>
        </w:rPr>
        <w:t>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2C49C3">
      <w:pPr>
        <w:pStyle w:val="af"/>
        <w:numPr>
          <w:ilvl w:val="1"/>
          <w:numId w:val="6"/>
        </w:numPr>
        <w:shd w:val="clear" w:color="auto" w:fill="FFFFFF"/>
        <w:tabs>
          <w:tab w:val="left" w:pos="1134"/>
        </w:tabs>
        <w:ind w:left="0" w:firstLine="709"/>
        <w:jc w:val="both"/>
        <w:rPr>
          <w:bCs/>
        </w:rPr>
      </w:pPr>
      <w:proofErr w:type="gramStart"/>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roofErr w:type="gramEnd"/>
    </w:p>
    <w:p w:rsidR="00DA3F0D" w:rsidRPr="00800F41" w:rsidRDefault="00773634" w:rsidP="002C49C3">
      <w:pPr>
        <w:pStyle w:val="af"/>
        <w:numPr>
          <w:ilvl w:val="1"/>
          <w:numId w:val="6"/>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2C49C3">
      <w:pPr>
        <w:pStyle w:val="af"/>
        <w:numPr>
          <w:ilvl w:val="1"/>
          <w:numId w:val="6"/>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2C49C3">
      <w:pPr>
        <w:pStyle w:val="af"/>
        <w:numPr>
          <w:ilvl w:val="1"/>
          <w:numId w:val="6"/>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2C49C3">
      <w:pPr>
        <w:pStyle w:val="af"/>
        <w:numPr>
          <w:ilvl w:val="1"/>
          <w:numId w:val="6"/>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 xml:space="preserve">в течение 10 (десяти) рабочих дней </w:t>
      </w:r>
      <w:proofErr w:type="gramStart"/>
      <w:r w:rsidR="00487AC0" w:rsidRPr="00800F41">
        <w:rPr>
          <w:bCs/>
        </w:rPr>
        <w:t>с даты получения</w:t>
      </w:r>
      <w:proofErr w:type="gramEnd"/>
      <w:r w:rsidR="00487AC0" w:rsidRPr="00800F41">
        <w:rPr>
          <w:bCs/>
        </w:rPr>
        <w:t xml:space="preserve">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2C49C3">
      <w:pPr>
        <w:pStyle w:val="af"/>
        <w:numPr>
          <w:ilvl w:val="1"/>
          <w:numId w:val="6"/>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 xml:space="preserve">заново </w:t>
      </w:r>
      <w:proofErr w:type="gramStart"/>
      <w:r w:rsidR="004B278C" w:rsidRPr="00800F41">
        <w:rPr>
          <w:bCs/>
        </w:rPr>
        <w:t>с даты приемки</w:t>
      </w:r>
      <w:proofErr w:type="gramEnd"/>
      <w:r w:rsidR="004B278C" w:rsidRPr="00800F41">
        <w:rPr>
          <w:bCs/>
        </w:rPr>
        <w:t xml:space="preserve"> Заказчиком работ по устранению недостатков.</w:t>
      </w:r>
    </w:p>
    <w:p w:rsidR="00C80725" w:rsidRPr="00800F41" w:rsidRDefault="00061C32" w:rsidP="002C49C3">
      <w:pPr>
        <w:pStyle w:val="af"/>
        <w:numPr>
          <w:ilvl w:val="1"/>
          <w:numId w:val="6"/>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2C49C3">
      <w:pPr>
        <w:pStyle w:val="af"/>
        <w:numPr>
          <w:ilvl w:val="0"/>
          <w:numId w:val="6"/>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2C49C3">
      <w:pPr>
        <w:pStyle w:val="af"/>
        <w:numPr>
          <w:ilvl w:val="1"/>
          <w:numId w:val="6"/>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2C49C3">
      <w:pPr>
        <w:pStyle w:val="af"/>
        <w:numPr>
          <w:ilvl w:val="1"/>
          <w:numId w:val="6"/>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2C49C3">
      <w:pPr>
        <w:pStyle w:val="af"/>
        <w:numPr>
          <w:ilvl w:val="1"/>
          <w:numId w:val="6"/>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2C49C3">
      <w:pPr>
        <w:pStyle w:val="af"/>
        <w:numPr>
          <w:ilvl w:val="1"/>
          <w:numId w:val="6"/>
        </w:numPr>
        <w:shd w:val="clear" w:color="auto" w:fill="FFFFFF"/>
        <w:tabs>
          <w:tab w:val="left" w:pos="1134"/>
        </w:tabs>
        <w:ind w:left="0" w:firstLine="709"/>
        <w:jc w:val="both"/>
        <w:rPr>
          <w:bCs/>
        </w:rPr>
      </w:pPr>
      <w:r w:rsidRPr="00800F41">
        <w:rPr>
          <w:bCs/>
        </w:rPr>
        <w:t>В случае</w:t>
      </w:r>
      <w:proofErr w:type="gramStart"/>
      <w:r w:rsidRPr="00800F41">
        <w:rPr>
          <w:bCs/>
        </w:rPr>
        <w:t>,</w:t>
      </w:r>
      <w:proofErr w:type="gramEnd"/>
      <w:r w:rsidRPr="00800F41">
        <w:rPr>
          <w:bCs/>
        </w:rPr>
        <w:t xml:space="preserve">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2C49C3">
      <w:pPr>
        <w:pStyle w:val="af"/>
        <w:numPr>
          <w:ilvl w:val="1"/>
          <w:numId w:val="6"/>
        </w:numPr>
        <w:shd w:val="clear" w:color="auto" w:fill="FFFFFF"/>
        <w:tabs>
          <w:tab w:val="left" w:pos="1134"/>
        </w:tabs>
        <w:ind w:left="0" w:firstLine="709"/>
        <w:jc w:val="both"/>
        <w:rPr>
          <w:bCs/>
        </w:rPr>
      </w:pPr>
      <w:proofErr w:type="gramStart"/>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roofErr w:type="gramEnd"/>
    </w:p>
    <w:p w:rsidR="003D1A45" w:rsidRPr="00800F41" w:rsidRDefault="003D1A45" w:rsidP="00C2118D">
      <w:pPr>
        <w:pStyle w:val="af"/>
        <w:shd w:val="clear" w:color="auto" w:fill="FFFFFF"/>
        <w:tabs>
          <w:tab w:val="left" w:pos="1134"/>
        </w:tabs>
        <w:ind w:left="0" w:firstLine="709"/>
        <w:jc w:val="both"/>
        <w:rPr>
          <w:bCs/>
        </w:rPr>
      </w:pPr>
      <w:r w:rsidRPr="00800F41">
        <w:rPr>
          <w:bCs/>
        </w:rPr>
        <w:t>В случае</w:t>
      </w:r>
      <w:proofErr w:type="gramStart"/>
      <w:r w:rsidRPr="00800F41">
        <w:rPr>
          <w:bCs/>
        </w:rPr>
        <w:t>,</w:t>
      </w:r>
      <w:proofErr w:type="gramEnd"/>
      <w:r w:rsidRPr="00800F41">
        <w:rPr>
          <w:bCs/>
        </w:rPr>
        <w:t xml:space="preserve">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2C49C3">
      <w:pPr>
        <w:pStyle w:val="af"/>
        <w:numPr>
          <w:ilvl w:val="1"/>
          <w:numId w:val="6"/>
        </w:numPr>
        <w:shd w:val="clear" w:color="auto" w:fill="FFFFFF"/>
        <w:tabs>
          <w:tab w:val="left" w:pos="1134"/>
        </w:tabs>
        <w:ind w:left="0" w:firstLine="709"/>
        <w:jc w:val="both"/>
        <w:rPr>
          <w:bCs/>
        </w:rPr>
      </w:pPr>
      <w:proofErr w:type="gramStart"/>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roofErr w:type="gramEnd"/>
    </w:p>
    <w:p w:rsidR="0083621D" w:rsidRPr="00800F41" w:rsidRDefault="0083621D" w:rsidP="002C49C3">
      <w:pPr>
        <w:pStyle w:val="af"/>
        <w:numPr>
          <w:ilvl w:val="1"/>
          <w:numId w:val="6"/>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2C49C3">
      <w:pPr>
        <w:pStyle w:val="af"/>
        <w:numPr>
          <w:ilvl w:val="0"/>
          <w:numId w:val="6"/>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2C49C3">
      <w:pPr>
        <w:pStyle w:val="af"/>
        <w:numPr>
          <w:ilvl w:val="1"/>
          <w:numId w:val="6"/>
        </w:numPr>
        <w:shd w:val="clear" w:color="auto" w:fill="FFFFFF"/>
        <w:tabs>
          <w:tab w:val="left" w:pos="1134"/>
        </w:tabs>
        <w:ind w:left="0" w:firstLine="709"/>
        <w:jc w:val="both"/>
        <w:rPr>
          <w:bCs/>
        </w:rPr>
      </w:pPr>
      <w:proofErr w:type="gramStart"/>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roofErr w:type="gramEnd"/>
    </w:p>
    <w:p w:rsidR="00236FD3" w:rsidRPr="00800F41" w:rsidRDefault="00236FD3" w:rsidP="00A222BE">
      <w:pPr>
        <w:numPr>
          <w:ilvl w:val="0"/>
          <w:numId w:val="36"/>
        </w:numPr>
        <w:tabs>
          <w:tab w:val="left" w:pos="709"/>
          <w:tab w:val="left" w:pos="1418"/>
        </w:tabs>
        <w:spacing w:line="240" w:lineRule="auto"/>
        <w:ind w:left="0" w:firstLine="709"/>
        <w:rPr>
          <w:bCs/>
          <w:snapToGrid/>
          <w:sz w:val="24"/>
          <w:szCs w:val="24"/>
        </w:rPr>
      </w:pPr>
      <w:r w:rsidRPr="00800F41">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A222BE">
      <w:pPr>
        <w:numPr>
          <w:ilvl w:val="0"/>
          <w:numId w:val="36"/>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2C49C3">
      <w:pPr>
        <w:pStyle w:val="af"/>
        <w:numPr>
          <w:ilvl w:val="1"/>
          <w:numId w:val="6"/>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2C49C3">
      <w:pPr>
        <w:pStyle w:val="af"/>
        <w:numPr>
          <w:ilvl w:val="1"/>
          <w:numId w:val="6"/>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2C49C3">
      <w:pPr>
        <w:pStyle w:val="af"/>
        <w:numPr>
          <w:ilvl w:val="1"/>
          <w:numId w:val="6"/>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2C49C3">
      <w:pPr>
        <w:pStyle w:val="af"/>
        <w:numPr>
          <w:ilvl w:val="1"/>
          <w:numId w:val="6"/>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2C49C3">
      <w:pPr>
        <w:pStyle w:val="af"/>
        <w:numPr>
          <w:ilvl w:val="1"/>
          <w:numId w:val="6"/>
        </w:numPr>
        <w:shd w:val="clear" w:color="auto" w:fill="FFFFFF"/>
        <w:tabs>
          <w:tab w:val="left" w:pos="1134"/>
        </w:tabs>
        <w:ind w:left="0" w:firstLine="709"/>
        <w:jc w:val="both"/>
        <w:rPr>
          <w:bCs/>
        </w:rPr>
      </w:pPr>
      <w:bookmarkStart w:id="27" w:name="_Ref361337849"/>
      <w:r w:rsidRPr="00800F41">
        <w:rPr>
          <w:bCs/>
        </w:rPr>
        <w:t xml:space="preserve">Подрядчик </w:t>
      </w:r>
      <w:proofErr w:type="gramStart"/>
      <w:r w:rsidRPr="00800F41">
        <w:rPr>
          <w:bCs/>
        </w:rPr>
        <w:t>обязан</w:t>
      </w:r>
      <w:proofErr w:type="gramEnd"/>
      <w:r w:rsidRPr="00800F41">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2C49C3">
      <w:pPr>
        <w:pStyle w:val="af"/>
        <w:numPr>
          <w:ilvl w:val="2"/>
          <w:numId w:val="6"/>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2C49C3">
      <w:pPr>
        <w:pStyle w:val="af"/>
        <w:numPr>
          <w:ilvl w:val="2"/>
          <w:numId w:val="6"/>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800F41">
        <w:rPr>
          <w:bCs/>
        </w:rPr>
        <w:t>Информации</w:t>
      </w:r>
      <w:proofErr w:type="gramEnd"/>
      <w:r w:rsidRPr="00800F41">
        <w:rPr>
          <w:bCs/>
        </w:rPr>
        <w:t xml:space="preserve"> обычно используемые им меры защиты;</w:t>
      </w:r>
    </w:p>
    <w:p w:rsidR="00236FD3" w:rsidRPr="00800F41" w:rsidRDefault="00236FD3" w:rsidP="002C49C3">
      <w:pPr>
        <w:pStyle w:val="af"/>
        <w:numPr>
          <w:ilvl w:val="2"/>
          <w:numId w:val="6"/>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2C49C3">
      <w:pPr>
        <w:pStyle w:val="af"/>
        <w:numPr>
          <w:ilvl w:val="2"/>
          <w:numId w:val="6"/>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2C49C3">
      <w:pPr>
        <w:pStyle w:val="af"/>
        <w:numPr>
          <w:ilvl w:val="2"/>
          <w:numId w:val="6"/>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2C49C3">
      <w:pPr>
        <w:pStyle w:val="af"/>
        <w:numPr>
          <w:ilvl w:val="2"/>
          <w:numId w:val="6"/>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w:t>
      </w:r>
      <w:r w:rsidRPr="00800F41">
        <w:rPr>
          <w:bCs/>
        </w:rPr>
        <w:lastRenderedPageBreak/>
        <w:t xml:space="preserve">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2C49C3">
      <w:pPr>
        <w:pStyle w:val="af"/>
        <w:numPr>
          <w:ilvl w:val="2"/>
          <w:numId w:val="6"/>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w:t>
      </w:r>
      <w:proofErr w:type="gramStart"/>
      <w:r w:rsidRPr="00800F41">
        <w:rPr>
          <w:bCs/>
        </w:rPr>
        <w:t>за</w:t>
      </w:r>
      <w:proofErr w:type="gramEnd"/>
      <w:r w:rsidRPr="00800F41">
        <w:rPr>
          <w:bCs/>
        </w:rPr>
        <w:t xml:space="preserve"> свои собственные;</w:t>
      </w:r>
      <w:bookmarkEnd w:id="28"/>
    </w:p>
    <w:p w:rsidR="00236FD3" w:rsidRPr="00800F41" w:rsidRDefault="00236FD3" w:rsidP="002C49C3">
      <w:pPr>
        <w:pStyle w:val="af"/>
        <w:numPr>
          <w:ilvl w:val="2"/>
          <w:numId w:val="6"/>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2C49C3">
      <w:pPr>
        <w:pStyle w:val="af"/>
        <w:numPr>
          <w:ilvl w:val="1"/>
          <w:numId w:val="6"/>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w:t>
      </w:r>
      <w:proofErr w:type="gramStart"/>
      <w:r w:rsidRPr="00800F41">
        <w:rPr>
          <w:bCs/>
        </w:rPr>
        <w:t>с даты получения</w:t>
      </w:r>
      <w:proofErr w:type="gramEnd"/>
      <w:r w:rsidRPr="00800F41">
        <w:rPr>
          <w:bCs/>
        </w:rPr>
        <w:t xml:space="preserve">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2C49C3">
      <w:pPr>
        <w:pStyle w:val="af"/>
        <w:numPr>
          <w:ilvl w:val="1"/>
          <w:numId w:val="6"/>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2C49C3">
      <w:pPr>
        <w:pStyle w:val="af"/>
        <w:numPr>
          <w:ilvl w:val="1"/>
          <w:numId w:val="6"/>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2C49C3">
      <w:pPr>
        <w:pStyle w:val="af"/>
        <w:numPr>
          <w:ilvl w:val="0"/>
          <w:numId w:val="6"/>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2C49C3">
      <w:pPr>
        <w:pStyle w:val="af"/>
        <w:numPr>
          <w:ilvl w:val="1"/>
          <w:numId w:val="6"/>
        </w:numPr>
        <w:shd w:val="clear" w:color="auto" w:fill="FFFFFF"/>
        <w:tabs>
          <w:tab w:val="left" w:pos="1134"/>
        </w:tabs>
        <w:ind w:left="0" w:firstLine="709"/>
        <w:jc w:val="both"/>
        <w:rPr>
          <w:bCs/>
        </w:rPr>
      </w:pPr>
      <w:proofErr w:type="gramStart"/>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w:t>
      </w:r>
      <w:proofErr w:type="gramEnd"/>
      <w:r w:rsidRPr="00800F41">
        <w:rPr>
          <w:bCs/>
        </w:rPr>
        <w:t xml:space="preserve">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2C49C3">
      <w:pPr>
        <w:pStyle w:val="af"/>
        <w:numPr>
          <w:ilvl w:val="1"/>
          <w:numId w:val="6"/>
        </w:numPr>
        <w:shd w:val="clear" w:color="auto" w:fill="FFFFFF"/>
        <w:tabs>
          <w:tab w:val="left" w:pos="1134"/>
        </w:tabs>
        <w:ind w:left="0" w:firstLine="709"/>
        <w:jc w:val="both"/>
        <w:rPr>
          <w:bCs/>
        </w:rPr>
      </w:pPr>
      <w:proofErr w:type="gramStart"/>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roofErr w:type="gramEnd"/>
    </w:p>
    <w:p w:rsidR="00132D90" w:rsidRPr="00800F41" w:rsidRDefault="00132D90" w:rsidP="002C49C3">
      <w:pPr>
        <w:pStyle w:val="af"/>
        <w:numPr>
          <w:ilvl w:val="1"/>
          <w:numId w:val="6"/>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2C49C3">
      <w:pPr>
        <w:pStyle w:val="af"/>
        <w:numPr>
          <w:ilvl w:val="1"/>
          <w:numId w:val="6"/>
        </w:numPr>
        <w:shd w:val="clear" w:color="auto" w:fill="FFFFFF"/>
        <w:tabs>
          <w:tab w:val="left" w:pos="1134"/>
        </w:tabs>
        <w:ind w:left="0" w:firstLine="709"/>
        <w:jc w:val="both"/>
        <w:rPr>
          <w:bCs/>
        </w:rPr>
      </w:pPr>
      <w:r w:rsidRPr="00800F41">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800F41">
        <w:rPr>
          <w:bCs/>
        </w:rPr>
        <w:t>с даты получения</w:t>
      </w:r>
      <w:proofErr w:type="gramEnd"/>
      <w:r w:rsidRPr="00800F41">
        <w:rPr>
          <w:bCs/>
        </w:rPr>
        <w:t xml:space="preserve">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Каналы связи «Линия доверия» ПАО «</w:t>
      </w:r>
      <w:proofErr w:type="spellStart"/>
      <w:r w:rsidRPr="00800F41">
        <w:t>РусГидро</w:t>
      </w:r>
      <w:proofErr w:type="spellEnd"/>
      <w:r w:rsidRPr="00800F41">
        <w:t xml:space="preserve">»: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10"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2C49C3">
      <w:pPr>
        <w:pStyle w:val="af"/>
        <w:numPr>
          <w:ilvl w:val="0"/>
          <w:numId w:val="6"/>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2C49C3">
      <w:pPr>
        <w:pStyle w:val="af"/>
        <w:numPr>
          <w:ilvl w:val="1"/>
          <w:numId w:val="6"/>
        </w:numPr>
        <w:shd w:val="clear" w:color="auto" w:fill="FFFFFF"/>
        <w:tabs>
          <w:tab w:val="left" w:pos="1134"/>
        </w:tabs>
        <w:ind w:left="0" w:firstLine="709"/>
        <w:jc w:val="both"/>
        <w:rPr>
          <w:bCs/>
        </w:rPr>
      </w:pPr>
      <w:proofErr w:type="gramStart"/>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lastRenderedPageBreak/>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800F41">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2C49C3">
      <w:pPr>
        <w:pStyle w:val="af"/>
        <w:numPr>
          <w:ilvl w:val="1"/>
          <w:numId w:val="6"/>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2C49C3">
      <w:pPr>
        <w:pStyle w:val="af"/>
        <w:numPr>
          <w:ilvl w:val="1"/>
          <w:numId w:val="6"/>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F321DD">
      <w:pPr>
        <w:pStyle w:val="af"/>
        <w:numPr>
          <w:ilvl w:val="1"/>
          <w:numId w:val="6"/>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2C49C3">
      <w:pPr>
        <w:pStyle w:val="af"/>
        <w:numPr>
          <w:ilvl w:val="1"/>
          <w:numId w:val="6"/>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2C49C3">
      <w:pPr>
        <w:pStyle w:val="af"/>
        <w:numPr>
          <w:ilvl w:val="1"/>
          <w:numId w:val="6"/>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2C49C3">
      <w:pPr>
        <w:pStyle w:val="af"/>
        <w:numPr>
          <w:ilvl w:val="0"/>
          <w:numId w:val="6"/>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2C49C3">
      <w:pPr>
        <w:pStyle w:val="af"/>
        <w:numPr>
          <w:ilvl w:val="1"/>
          <w:numId w:val="6"/>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C2118D">
      <w:pPr>
        <w:pStyle w:val="af"/>
        <w:numPr>
          <w:ilvl w:val="1"/>
          <w:numId w:val="90"/>
        </w:numPr>
        <w:shd w:val="clear" w:color="auto" w:fill="FFFFFF"/>
        <w:tabs>
          <w:tab w:val="left" w:pos="1134"/>
        </w:tabs>
        <w:ind w:left="0" w:firstLine="709"/>
        <w:jc w:val="both"/>
        <w:rPr>
          <w:bCs/>
        </w:rPr>
      </w:pPr>
      <w:r w:rsidRPr="00800F41">
        <w:rPr>
          <w:bCs/>
        </w:rPr>
        <w:t xml:space="preserve"> </w:t>
      </w:r>
      <w:proofErr w:type="gramStart"/>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800F41">
          <w:rPr>
            <w:bCs/>
          </w:rPr>
          <w:t>№ 18162/09</w:t>
        </w:r>
      </w:hyperlink>
      <w:r w:rsidR="003F7A52" w:rsidRPr="00800F41">
        <w:rPr>
          <w:bCs/>
        </w:rPr>
        <w:t xml:space="preserve"> и от 25.05.2010 </w:t>
      </w:r>
      <w:hyperlink r:id="rId12"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800F41">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C2118D">
      <w:pPr>
        <w:pStyle w:val="af"/>
        <w:numPr>
          <w:ilvl w:val="1"/>
          <w:numId w:val="90"/>
        </w:numPr>
        <w:shd w:val="clear" w:color="auto" w:fill="FFFFFF"/>
        <w:tabs>
          <w:tab w:val="left" w:pos="1134"/>
        </w:tabs>
        <w:ind w:left="0" w:firstLine="709"/>
        <w:jc w:val="both"/>
        <w:rPr>
          <w:bCs/>
        </w:rPr>
      </w:pPr>
      <w:r w:rsidRPr="00800F41">
        <w:rPr>
          <w:bCs/>
        </w:rPr>
        <w:t xml:space="preserve">соответствующие </w:t>
      </w:r>
      <w:hyperlink r:id="rId13" w:history="1">
        <w:proofErr w:type="gramStart"/>
        <w:r w:rsidRPr="00800F41">
          <w:rPr>
            <w:bCs/>
          </w:rPr>
          <w:t>Критери</w:t>
        </w:r>
      </w:hyperlink>
      <w:r w:rsidRPr="00800F41">
        <w:rPr>
          <w:bCs/>
        </w:rPr>
        <w:t>ям</w:t>
      </w:r>
      <w:proofErr w:type="gramEnd"/>
      <w:r w:rsidRPr="00800F41">
        <w:rPr>
          <w:bCs/>
        </w:rPr>
        <w:t xml:space="preserve">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2C49C3">
      <w:pPr>
        <w:pStyle w:val="af"/>
        <w:numPr>
          <w:ilvl w:val="1"/>
          <w:numId w:val="6"/>
        </w:numPr>
        <w:shd w:val="clear" w:color="auto" w:fill="FFFFFF"/>
        <w:tabs>
          <w:tab w:val="left" w:pos="1134"/>
        </w:tabs>
        <w:ind w:left="0" w:firstLine="709"/>
        <w:jc w:val="both"/>
        <w:rPr>
          <w:bCs/>
        </w:rPr>
      </w:pPr>
      <w:bookmarkStart w:id="31" w:name="_Ref361337921"/>
      <w:r w:rsidRPr="00800F41">
        <w:rPr>
          <w:bCs/>
        </w:rPr>
        <w:lastRenderedPageBreak/>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2C49C3">
      <w:pPr>
        <w:pStyle w:val="af"/>
        <w:numPr>
          <w:ilvl w:val="1"/>
          <w:numId w:val="6"/>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 xml:space="preserve">не должна наступать ранее 10 (десяти) рабочих дней </w:t>
      </w:r>
      <w:proofErr w:type="gramStart"/>
      <w:r w:rsidRPr="00800F41">
        <w:rPr>
          <w:bCs/>
        </w:rPr>
        <w:t>с даты получения</w:t>
      </w:r>
      <w:proofErr w:type="gramEnd"/>
      <w:r w:rsidRPr="00800F41">
        <w:rPr>
          <w:bCs/>
        </w:rPr>
        <w:t xml:space="preserve">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2C49C3">
      <w:pPr>
        <w:pStyle w:val="af"/>
        <w:numPr>
          <w:ilvl w:val="1"/>
          <w:numId w:val="6"/>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2C49C3">
      <w:pPr>
        <w:pStyle w:val="af"/>
        <w:numPr>
          <w:ilvl w:val="1"/>
          <w:numId w:val="6"/>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w:t>
      </w:r>
      <w:proofErr w:type="gramStart"/>
      <w:r w:rsidRPr="00800F41">
        <w:rPr>
          <w:bCs/>
        </w:rPr>
        <w:t>с даты получения</w:t>
      </w:r>
      <w:proofErr w:type="gramEnd"/>
      <w:r w:rsidRPr="00800F41">
        <w:rPr>
          <w:bCs/>
        </w:rPr>
        <w:t xml:space="preserve">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w:t>
      </w:r>
      <w:proofErr w:type="gramStart"/>
      <w:r w:rsidRPr="00800F41">
        <w:rPr>
          <w:bCs/>
        </w:rPr>
        <w:t xml:space="preserve">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w:t>
      </w:r>
      <w:proofErr w:type="gramEnd"/>
      <w:r w:rsidR="008A1DA1" w:rsidRPr="00800F41">
        <w:rPr>
          <w:bCs/>
        </w:rPr>
        <w:t xml:space="preserve">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2C49C3">
      <w:pPr>
        <w:pStyle w:val="af"/>
        <w:numPr>
          <w:ilvl w:val="1"/>
          <w:numId w:val="6"/>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C2118D">
      <w:pPr>
        <w:pStyle w:val="af"/>
        <w:numPr>
          <w:ilvl w:val="1"/>
          <w:numId w:val="6"/>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B026D2">
      <w:pPr>
        <w:pStyle w:val="af"/>
        <w:numPr>
          <w:ilvl w:val="1"/>
          <w:numId w:val="6"/>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04216F">
        <w:rPr>
          <w:bCs/>
        </w:rPr>
        <w:t>коронавирусной</w:t>
      </w:r>
      <w:proofErr w:type="spellEnd"/>
      <w:r w:rsidRPr="0004216F">
        <w:rPr>
          <w:bCs/>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w:t>
      </w:r>
      <w:proofErr w:type="gramStart"/>
      <w:r w:rsidRPr="0004216F">
        <w:rPr>
          <w:bCs/>
        </w:rPr>
        <w:t>но</w:t>
      </w:r>
      <w:proofErr w:type="gramEnd"/>
      <w:r w:rsidRPr="0004216F">
        <w:rPr>
          <w:bCs/>
        </w:rPr>
        <w:t xml:space="preserve">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roofErr w:type="gramStart"/>
      <w:r w:rsidRPr="0004216F">
        <w:rPr>
          <w:bCs/>
        </w:rPr>
        <w:t xml:space="preserve">.. </w:t>
      </w:r>
      <w:proofErr w:type="gramEnd"/>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B026D2">
      <w:pPr>
        <w:pStyle w:val="af"/>
        <w:numPr>
          <w:ilvl w:val="1"/>
          <w:numId w:val="6"/>
        </w:numPr>
        <w:shd w:val="clear" w:color="auto" w:fill="FFFFFF"/>
        <w:tabs>
          <w:tab w:val="left" w:pos="1134"/>
        </w:tabs>
        <w:ind w:left="0" w:firstLine="709"/>
        <w:jc w:val="both"/>
        <w:rPr>
          <w:bCs/>
        </w:rPr>
      </w:pPr>
      <w:r w:rsidRPr="0004216F">
        <w:rPr>
          <w:bCs/>
        </w:rPr>
        <w:t>В случае</w:t>
      </w:r>
      <w:proofErr w:type="gramStart"/>
      <w:r w:rsidRPr="0004216F">
        <w:rPr>
          <w:bCs/>
        </w:rPr>
        <w:t>,</w:t>
      </w:r>
      <w:proofErr w:type="gramEnd"/>
      <w:r w:rsidRPr="0004216F">
        <w:rPr>
          <w:bCs/>
        </w:rPr>
        <w:t xml:space="preserve">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B026D2">
      <w:pPr>
        <w:pStyle w:val="af"/>
        <w:numPr>
          <w:ilvl w:val="2"/>
          <w:numId w:val="6"/>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B026D2">
      <w:pPr>
        <w:pStyle w:val="af"/>
        <w:numPr>
          <w:ilvl w:val="2"/>
          <w:numId w:val="6"/>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2C49C3">
      <w:pPr>
        <w:pStyle w:val="af"/>
        <w:numPr>
          <w:ilvl w:val="0"/>
          <w:numId w:val="6"/>
        </w:numPr>
        <w:shd w:val="clear" w:color="auto" w:fill="FFFFFF"/>
        <w:tabs>
          <w:tab w:val="left" w:pos="426"/>
        </w:tabs>
        <w:ind w:left="0" w:firstLine="0"/>
        <w:jc w:val="center"/>
        <w:rPr>
          <w:b/>
        </w:rPr>
      </w:pPr>
      <w:proofErr w:type="gramStart"/>
      <w:r w:rsidRPr="00800F41">
        <w:rPr>
          <w:b/>
          <w:bCs/>
        </w:rPr>
        <w:t>Заверения</w:t>
      </w:r>
      <w:r w:rsidRPr="00800F41">
        <w:rPr>
          <w:b/>
        </w:rPr>
        <w:t xml:space="preserve"> Сторон</w:t>
      </w:r>
      <w:proofErr w:type="gramEnd"/>
    </w:p>
    <w:p w:rsidR="00B026D2" w:rsidRPr="00800F41" w:rsidRDefault="00B026D2" w:rsidP="00B026D2">
      <w:pPr>
        <w:pStyle w:val="af"/>
        <w:shd w:val="clear" w:color="auto" w:fill="FFFFFF"/>
        <w:tabs>
          <w:tab w:val="left" w:pos="426"/>
        </w:tabs>
        <w:ind w:left="0"/>
        <w:rPr>
          <w:b/>
        </w:rPr>
      </w:pPr>
    </w:p>
    <w:p w:rsidR="00132D90" w:rsidRPr="00800F41" w:rsidRDefault="00132D90" w:rsidP="002C49C3">
      <w:pPr>
        <w:pStyle w:val="af"/>
        <w:numPr>
          <w:ilvl w:val="1"/>
          <w:numId w:val="6"/>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C4883">
      <w:pPr>
        <w:pStyle w:val="af"/>
        <w:numPr>
          <w:ilvl w:val="0"/>
          <w:numId w:val="87"/>
        </w:numPr>
        <w:shd w:val="clear" w:color="auto" w:fill="FFFFFF"/>
        <w:tabs>
          <w:tab w:val="left" w:pos="709"/>
          <w:tab w:val="left" w:pos="1418"/>
        </w:tabs>
        <w:ind w:left="0" w:firstLine="709"/>
        <w:jc w:val="both"/>
      </w:pPr>
      <w:r w:rsidRPr="00800F41">
        <w:t xml:space="preserve">она является юридическим лицом, надлежащим </w:t>
      </w:r>
      <w:proofErr w:type="gramStart"/>
      <w:r w:rsidRPr="00800F41">
        <w:t>образом</w:t>
      </w:r>
      <w:proofErr w:type="gramEnd"/>
      <w:r w:rsidRPr="00800F41">
        <w:t xml:space="preserve">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C4883">
      <w:pPr>
        <w:pStyle w:val="af"/>
        <w:numPr>
          <w:ilvl w:val="0"/>
          <w:numId w:val="87"/>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C4883">
      <w:pPr>
        <w:pStyle w:val="af"/>
        <w:numPr>
          <w:ilvl w:val="0"/>
          <w:numId w:val="87"/>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C4883">
      <w:pPr>
        <w:pStyle w:val="af"/>
        <w:numPr>
          <w:ilvl w:val="0"/>
          <w:numId w:val="87"/>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C4883">
      <w:pPr>
        <w:pStyle w:val="af"/>
        <w:numPr>
          <w:ilvl w:val="0"/>
          <w:numId w:val="87"/>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2C49C3">
      <w:pPr>
        <w:pStyle w:val="af"/>
        <w:numPr>
          <w:ilvl w:val="1"/>
          <w:numId w:val="6"/>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564B44">
      <w:pPr>
        <w:pStyle w:val="af"/>
        <w:numPr>
          <w:ilvl w:val="0"/>
          <w:numId w:val="89"/>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564B44">
      <w:pPr>
        <w:pStyle w:val="af"/>
        <w:numPr>
          <w:ilvl w:val="0"/>
          <w:numId w:val="89"/>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564B44">
      <w:pPr>
        <w:pStyle w:val="af"/>
        <w:numPr>
          <w:ilvl w:val="0"/>
          <w:numId w:val="89"/>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564B44">
      <w:pPr>
        <w:pStyle w:val="af"/>
        <w:numPr>
          <w:ilvl w:val="0"/>
          <w:numId w:val="89"/>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564B44">
      <w:pPr>
        <w:pStyle w:val="af"/>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w:t>
      </w:r>
      <w:proofErr w:type="gramStart"/>
      <w:r w:rsidR="006C51C1" w:rsidRPr="00800F41">
        <w:t>из</w:t>
      </w:r>
      <w:proofErr w:type="gramEnd"/>
      <w:r w:rsidR="006C51C1" w:rsidRPr="00800F41">
        <w:t xml:space="preserve"> </w:t>
      </w:r>
      <w:r w:rsidR="00436256" w:rsidRPr="00800F41">
        <w:t>Договору</w:t>
      </w:r>
      <w:r w:rsidR="006C51C1" w:rsidRPr="00800F41">
        <w:t xml:space="preserve"> или в связи с ним</w:t>
      </w:r>
      <w:r w:rsidR="00436256" w:rsidRPr="00800F41">
        <w:t>;</w:t>
      </w:r>
    </w:p>
    <w:p w:rsidR="00436256" w:rsidRPr="00800F41" w:rsidRDefault="00564B44" w:rsidP="00564B44">
      <w:pPr>
        <w:pStyle w:val="af"/>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xml:space="preserve">, </w:t>
      </w:r>
      <w:proofErr w:type="gramStart"/>
      <w:r w:rsidR="00436256" w:rsidRPr="00800F41">
        <w:t>основанной</w:t>
      </w:r>
      <w:proofErr w:type="gramEnd"/>
      <w:r w:rsidR="00436256" w:rsidRPr="00800F41">
        <w:t xml:space="preserve">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564B44">
      <w:pPr>
        <w:pStyle w:val="af"/>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564B44">
      <w:pPr>
        <w:pStyle w:val="af"/>
        <w:numPr>
          <w:ilvl w:val="0"/>
          <w:numId w:val="88"/>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564B44">
      <w:pPr>
        <w:pStyle w:val="af"/>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564B44">
      <w:pPr>
        <w:pStyle w:val="af"/>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564B44">
      <w:pPr>
        <w:pStyle w:val="af"/>
        <w:numPr>
          <w:ilvl w:val="0"/>
          <w:numId w:val="88"/>
        </w:numPr>
        <w:shd w:val="clear" w:color="auto" w:fill="FFFFFF"/>
        <w:tabs>
          <w:tab w:val="left" w:pos="567"/>
          <w:tab w:val="left" w:pos="1418"/>
        </w:tabs>
        <w:ind w:left="0" w:firstLine="709"/>
        <w:jc w:val="both"/>
      </w:pPr>
      <w:r w:rsidRPr="00800F41">
        <w:lastRenderedPageBreak/>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564B44">
      <w:pPr>
        <w:pStyle w:val="af"/>
        <w:numPr>
          <w:ilvl w:val="0"/>
          <w:numId w:val="88"/>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2C49C3">
      <w:pPr>
        <w:numPr>
          <w:ilvl w:val="1"/>
          <w:numId w:val="6"/>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800F41">
        <w:rPr>
          <w:snapToGrid/>
          <w:sz w:val="24"/>
          <w:szCs w:val="24"/>
        </w:rPr>
        <w:t>заверений</w:t>
      </w:r>
      <w:proofErr w:type="gramEnd"/>
      <w:r w:rsidR="008F71F0" w:rsidRPr="00800F41">
        <w:rPr>
          <w:snapToGrid/>
          <w:sz w:val="24"/>
          <w:szCs w:val="24"/>
        </w:rPr>
        <w:t xml:space="preserve">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2C49C3">
      <w:pPr>
        <w:pStyle w:val="af"/>
        <w:numPr>
          <w:ilvl w:val="1"/>
          <w:numId w:val="6"/>
        </w:numPr>
        <w:shd w:val="clear" w:color="auto" w:fill="FFFFFF"/>
        <w:tabs>
          <w:tab w:val="left" w:pos="1134"/>
          <w:tab w:val="left" w:pos="1418"/>
        </w:tabs>
        <w:ind w:left="0" w:firstLine="709"/>
        <w:jc w:val="both"/>
      </w:pPr>
      <w:r w:rsidRPr="00800F41">
        <w:t>В случае</w:t>
      </w:r>
      <w:proofErr w:type="gramStart"/>
      <w:r w:rsidRPr="00800F41">
        <w:t>,</w:t>
      </w:r>
      <w:proofErr w:type="gramEnd"/>
      <w:r w:rsidRPr="00800F41">
        <w:t xml:space="preserve">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2C49C3">
      <w:pPr>
        <w:pStyle w:val="af"/>
        <w:numPr>
          <w:ilvl w:val="1"/>
          <w:numId w:val="6"/>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2C49C3">
      <w:pPr>
        <w:pStyle w:val="af"/>
        <w:numPr>
          <w:ilvl w:val="0"/>
          <w:numId w:val="6"/>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2C49C3">
      <w:pPr>
        <w:pStyle w:val="af"/>
        <w:numPr>
          <w:ilvl w:val="1"/>
          <w:numId w:val="6"/>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2C49C3">
      <w:pPr>
        <w:pStyle w:val="af"/>
        <w:numPr>
          <w:ilvl w:val="1"/>
          <w:numId w:val="6"/>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2C49C3">
      <w:pPr>
        <w:pStyle w:val="af"/>
        <w:numPr>
          <w:ilvl w:val="1"/>
          <w:numId w:val="6"/>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2C49C3">
      <w:pPr>
        <w:pStyle w:val="af"/>
        <w:numPr>
          <w:ilvl w:val="1"/>
          <w:numId w:val="6"/>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C2118D">
      <w:pPr>
        <w:pStyle w:val="af"/>
        <w:numPr>
          <w:ilvl w:val="0"/>
          <w:numId w:val="86"/>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C2118D">
      <w:pPr>
        <w:pStyle w:val="af"/>
        <w:numPr>
          <w:ilvl w:val="0"/>
          <w:numId w:val="86"/>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C2118D">
      <w:pPr>
        <w:pStyle w:val="af"/>
        <w:numPr>
          <w:ilvl w:val="0"/>
          <w:numId w:val="86"/>
        </w:numPr>
        <w:tabs>
          <w:tab w:val="left" w:pos="1134"/>
        </w:tabs>
        <w:ind w:left="0" w:right="23" w:firstLine="709"/>
        <w:jc w:val="both"/>
      </w:pPr>
      <w:r w:rsidRPr="00800F41">
        <w:lastRenderedPageBreak/>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FE35C0">
      <w:pPr>
        <w:pStyle w:val="af"/>
        <w:numPr>
          <w:ilvl w:val="0"/>
          <w:numId w:val="86"/>
        </w:numPr>
        <w:tabs>
          <w:tab w:val="left" w:pos="1134"/>
        </w:tabs>
        <w:ind w:left="0" w:right="23" w:firstLine="709"/>
        <w:jc w:val="both"/>
      </w:pPr>
      <w:r w:rsidRPr="00800F41">
        <w:t xml:space="preserve">прекращение членства в </w:t>
      </w:r>
      <w:r w:rsidR="00027666" w:rsidRPr="00800F41">
        <w:t>СРО</w:t>
      </w:r>
      <w:r w:rsidRPr="00800F41">
        <w:t xml:space="preserve">, </w:t>
      </w:r>
      <w:proofErr w:type="gramStart"/>
      <w:r w:rsidRPr="00800F41">
        <w:t>основанной</w:t>
      </w:r>
      <w:proofErr w:type="gramEnd"/>
      <w:r w:rsidRPr="00800F41">
        <w:t xml:space="preserve">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C4883">
      <w:pPr>
        <w:pStyle w:val="af"/>
        <w:numPr>
          <w:ilvl w:val="0"/>
          <w:numId w:val="86"/>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C2118D">
      <w:pPr>
        <w:pStyle w:val="af"/>
        <w:numPr>
          <w:ilvl w:val="0"/>
          <w:numId w:val="86"/>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C2118D">
      <w:pPr>
        <w:pStyle w:val="af"/>
        <w:numPr>
          <w:ilvl w:val="0"/>
          <w:numId w:val="86"/>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1A549D">
      <w:pPr>
        <w:pStyle w:val="af"/>
        <w:numPr>
          <w:ilvl w:val="0"/>
          <w:numId w:val="86"/>
        </w:numPr>
        <w:tabs>
          <w:tab w:val="left" w:pos="1134"/>
        </w:tabs>
        <w:ind w:left="0" w:right="23" w:firstLine="709"/>
        <w:jc w:val="both"/>
      </w:pPr>
      <w:r w:rsidRPr="00800F41">
        <w:t xml:space="preserve">установление в ходе </w:t>
      </w:r>
      <w:proofErr w:type="gramStart"/>
      <w:r w:rsidRPr="00800F41">
        <w:t>исполнения Договора фактов несоответствия Подрядчика</w:t>
      </w:r>
      <w:proofErr w:type="gramEnd"/>
      <w:r w:rsidRPr="00800F41">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2C49C3">
      <w:pPr>
        <w:pStyle w:val="af"/>
        <w:numPr>
          <w:ilvl w:val="1"/>
          <w:numId w:val="6"/>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proofErr w:type="gramStart"/>
      <w:r w:rsidRPr="00800F41">
        <w:t>последний</w:t>
      </w:r>
      <w:proofErr w:type="gramEnd"/>
      <w:r w:rsidRPr="00800F41">
        <w:t xml:space="preserve">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2C49C3">
      <w:pPr>
        <w:pStyle w:val="af"/>
        <w:numPr>
          <w:ilvl w:val="1"/>
          <w:numId w:val="6"/>
        </w:numPr>
        <w:shd w:val="clear" w:color="auto" w:fill="FFFFFF"/>
        <w:tabs>
          <w:tab w:val="left" w:pos="1134"/>
        </w:tabs>
        <w:ind w:left="0" w:firstLine="709"/>
        <w:jc w:val="both"/>
      </w:pPr>
      <w:proofErr w:type="gramStart"/>
      <w:r w:rsidRPr="00800F41">
        <w:t xml:space="preserve">С </w:t>
      </w:r>
      <w:r w:rsidR="00826005" w:rsidRPr="00800F41">
        <w:t xml:space="preserve">даты </w:t>
      </w:r>
      <w:r w:rsidR="008A1DA1" w:rsidRPr="00800F41">
        <w:t>прекращения</w:t>
      </w:r>
      <w:proofErr w:type="gramEnd"/>
      <w:r w:rsidR="008A1DA1" w:rsidRPr="00800F41">
        <w:t xml:space="preserve">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C4883">
      <w:pPr>
        <w:pStyle w:val="af"/>
        <w:numPr>
          <w:ilvl w:val="0"/>
          <w:numId w:val="103"/>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C4883">
      <w:pPr>
        <w:pStyle w:val="af"/>
        <w:numPr>
          <w:ilvl w:val="0"/>
          <w:numId w:val="103"/>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C4883">
      <w:pPr>
        <w:pStyle w:val="af"/>
        <w:numPr>
          <w:ilvl w:val="0"/>
          <w:numId w:val="103"/>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2C49C3">
      <w:pPr>
        <w:pStyle w:val="af"/>
        <w:numPr>
          <w:ilvl w:val="1"/>
          <w:numId w:val="6"/>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2C49C3">
      <w:pPr>
        <w:pStyle w:val="af"/>
        <w:numPr>
          <w:ilvl w:val="0"/>
          <w:numId w:val="6"/>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2C49C3">
      <w:pPr>
        <w:pStyle w:val="af"/>
        <w:numPr>
          <w:ilvl w:val="1"/>
          <w:numId w:val="6"/>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2C49C3">
      <w:pPr>
        <w:pStyle w:val="af"/>
        <w:numPr>
          <w:ilvl w:val="1"/>
          <w:numId w:val="6"/>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2C49C3">
      <w:pPr>
        <w:pStyle w:val="af"/>
        <w:numPr>
          <w:ilvl w:val="1"/>
          <w:numId w:val="6"/>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2C49C3">
      <w:pPr>
        <w:pStyle w:val="af"/>
        <w:numPr>
          <w:ilvl w:val="1"/>
          <w:numId w:val="6"/>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2C49C3">
      <w:pPr>
        <w:pStyle w:val="af"/>
        <w:numPr>
          <w:ilvl w:val="1"/>
          <w:numId w:val="6"/>
        </w:numPr>
        <w:shd w:val="clear" w:color="auto" w:fill="FFFFFF"/>
        <w:tabs>
          <w:tab w:val="left" w:pos="1134"/>
          <w:tab w:val="left" w:pos="1418"/>
        </w:tabs>
        <w:ind w:left="0" w:firstLine="709"/>
        <w:jc w:val="both"/>
        <w:rPr>
          <w:bCs/>
        </w:rPr>
      </w:pPr>
      <w:r w:rsidRPr="00800F41">
        <w:rPr>
          <w:bCs/>
        </w:rPr>
        <w:t xml:space="preserve">Условия настоящего раздела сохраняют свою силу в случае признания Договора </w:t>
      </w:r>
      <w:proofErr w:type="gramStart"/>
      <w:r w:rsidRPr="00800F41">
        <w:rPr>
          <w:bCs/>
        </w:rPr>
        <w:t>незаключенным</w:t>
      </w:r>
      <w:proofErr w:type="gramEnd"/>
      <w:r w:rsidRPr="00800F41">
        <w:rPr>
          <w:bCs/>
        </w:rPr>
        <w:t xml:space="preserve"> и / или недействительным.</w:t>
      </w:r>
    </w:p>
    <w:p w:rsidR="004B090F" w:rsidRDefault="00DF16D0" w:rsidP="002C49C3">
      <w:pPr>
        <w:pStyle w:val="af"/>
        <w:numPr>
          <w:ilvl w:val="0"/>
          <w:numId w:val="6"/>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647653">
      <w:pPr>
        <w:pStyle w:val="af"/>
        <w:numPr>
          <w:ilvl w:val="1"/>
          <w:numId w:val="6"/>
        </w:numPr>
        <w:shd w:val="clear" w:color="auto" w:fill="FFFFFF"/>
        <w:tabs>
          <w:tab w:val="left" w:pos="1134"/>
        </w:tabs>
        <w:ind w:left="0" w:firstLine="709"/>
        <w:jc w:val="both"/>
      </w:pPr>
      <w:r w:rsidRPr="00800F41">
        <w:lastRenderedPageBreak/>
        <w:t xml:space="preserve">Договор вступает в силу </w:t>
      </w:r>
      <w:proofErr w:type="gramStart"/>
      <w:r w:rsidRPr="00800F41">
        <w:t xml:space="preserve">с </w:t>
      </w:r>
      <w:r w:rsidR="00D333F7" w:rsidRPr="00800F41">
        <w:t>даты</w:t>
      </w:r>
      <w:proofErr w:type="gramEnd"/>
      <w:r w:rsidR="00D333F7" w:rsidRPr="00800F41">
        <w:t xml:space="preserve">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2C49C3">
      <w:pPr>
        <w:pStyle w:val="af"/>
        <w:numPr>
          <w:ilvl w:val="1"/>
          <w:numId w:val="6"/>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2C49C3">
      <w:pPr>
        <w:pStyle w:val="af"/>
        <w:numPr>
          <w:ilvl w:val="1"/>
          <w:numId w:val="6"/>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2C49C3">
      <w:pPr>
        <w:pStyle w:val="af"/>
        <w:numPr>
          <w:ilvl w:val="1"/>
          <w:numId w:val="6"/>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2C49C3">
      <w:pPr>
        <w:pStyle w:val="af"/>
        <w:numPr>
          <w:ilvl w:val="1"/>
          <w:numId w:val="6"/>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2C49C3">
      <w:pPr>
        <w:pStyle w:val="af"/>
        <w:numPr>
          <w:ilvl w:val="1"/>
          <w:numId w:val="6"/>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2C49C3">
      <w:pPr>
        <w:pStyle w:val="af"/>
        <w:numPr>
          <w:ilvl w:val="1"/>
          <w:numId w:val="6"/>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F321DD">
      <w:pPr>
        <w:pStyle w:val="af"/>
        <w:numPr>
          <w:ilvl w:val="2"/>
          <w:numId w:val="6"/>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F321DD">
      <w:pPr>
        <w:pStyle w:val="af"/>
        <w:numPr>
          <w:ilvl w:val="2"/>
          <w:numId w:val="6"/>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F321DD">
      <w:pPr>
        <w:pStyle w:val="af"/>
        <w:numPr>
          <w:ilvl w:val="2"/>
          <w:numId w:val="6"/>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2C49C3">
      <w:pPr>
        <w:numPr>
          <w:ilvl w:val="1"/>
          <w:numId w:val="6"/>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2C49C3">
      <w:pPr>
        <w:pStyle w:val="af"/>
        <w:numPr>
          <w:ilvl w:val="1"/>
          <w:numId w:val="6"/>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2C49C3">
      <w:pPr>
        <w:pStyle w:val="af"/>
        <w:numPr>
          <w:ilvl w:val="1"/>
          <w:numId w:val="6"/>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2C49C3">
      <w:pPr>
        <w:pStyle w:val="af"/>
        <w:numPr>
          <w:ilvl w:val="1"/>
          <w:numId w:val="6"/>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647653">
      <w:pPr>
        <w:pStyle w:val="af"/>
        <w:numPr>
          <w:ilvl w:val="1"/>
          <w:numId w:val="6"/>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2C49C3">
      <w:pPr>
        <w:pStyle w:val="af"/>
        <w:numPr>
          <w:ilvl w:val="0"/>
          <w:numId w:val="6"/>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lastRenderedPageBreak/>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proofErr w:type="gramStart"/>
      <w:r w:rsidR="005A303B" w:rsidRPr="00800F41">
        <w:rPr>
          <w:bCs/>
        </w:rPr>
        <w:t>Акт</w:t>
      </w:r>
      <w:r w:rsidR="00FE6868" w:rsidRPr="00800F41">
        <w:rPr>
          <w:bCs/>
        </w:rPr>
        <w:t>а</w:t>
      </w:r>
      <w:r w:rsidR="005A303B" w:rsidRPr="00800F41">
        <w:rPr>
          <w:bCs/>
        </w:rPr>
        <w:t xml:space="preserve"> сдачи-приемки места производства работ</w:t>
      </w:r>
      <w:proofErr w:type="gramEnd"/>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w:t>
      </w:r>
      <w:proofErr w:type="spellStart"/>
      <w:r w:rsidR="00501A3B" w:rsidRPr="00800F41">
        <w:rPr>
          <w:bCs/>
        </w:rPr>
        <w:t>внутриобъектового</w:t>
      </w:r>
      <w:proofErr w:type="spellEnd"/>
      <w:r w:rsidR="00501A3B" w:rsidRPr="00800F41">
        <w:rPr>
          <w:bCs/>
        </w:rPr>
        <w:t xml:space="preserve">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095C52">
      <w:pPr>
        <w:pStyle w:val="af"/>
        <w:numPr>
          <w:ilvl w:val="0"/>
          <w:numId w:val="6"/>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w:t>
            </w:r>
            <w:proofErr w:type="gramStart"/>
            <w:r w:rsidRPr="00BD444C">
              <w:rPr>
                <w:b/>
                <w:bCs/>
                <w:sz w:val="24"/>
                <w:szCs w:val="24"/>
              </w:rPr>
              <w:t>Дальневосточная</w:t>
            </w:r>
            <w:proofErr w:type="gramEnd"/>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 xml:space="preserve">г. Владивосток, ул. </w:t>
            </w:r>
            <w:proofErr w:type="gramStart"/>
            <w:r w:rsidRPr="00BD444C">
              <w:rPr>
                <w:bCs/>
                <w:sz w:val="24"/>
                <w:szCs w:val="24"/>
              </w:rPr>
              <w:t>Командорская</w:t>
            </w:r>
            <w:proofErr w:type="gramEnd"/>
            <w:r w:rsidRPr="00BD444C">
              <w:rPr>
                <w:bCs/>
                <w:sz w:val="24"/>
                <w:szCs w:val="24"/>
              </w:rPr>
              <w:t>,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proofErr w:type="gramStart"/>
            <w:r w:rsidRPr="00BD444C">
              <w:rPr>
                <w:sz w:val="24"/>
                <w:szCs w:val="24"/>
              </w:rPr>
              <w:t>р</w:t>
            </w:r>
            <w:proofErr w:type="gramEnd"/>
            <w:r w:rsidRPr="00BD444C">
              <w:rPr>
                <w:sz w:val="24"/>
                <w:szCs w:val="24"/>
              </w:rPr>
              <w:t>/с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proofErr w:type="spellStart"/>
            <w:r w:rsidRPr="00BD444C">
              <w:rPr>
                <w:b/>
                <w:i/>
                <w:sz w:val="24"/>
                <w:szCs w:val="24"/>
              </w:rPr>
              <w:t>Чутенко</w:t>
            </w:r>
            <w:proofErr w:type="spellEnd"/>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6E5B8F">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2020</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6E5B8F">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20</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proofErr w:type="spellStart"/>
      <w:r w:rsidRPr="00800F41">
        <w:rPr>
          <w:bCs/>
          <w:sz w:val="24"/>
          <w:szCs w:val="24"/>
        </w:rPr>
        <w:t>абот</w:t>
      </w:r>
      <w:proofErr w:type="spellEnd"/>
      <w:r w:rsidRPr="00800F41">
        <w:rPr>
          <w:bCs/>
          <w:sz w:val="24"/>
          <w:szCs w:val="24"/>
        </w:rPr>
        <w:t xml:space="preserve">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proofErr w:type="spellStart"/>
            <w:r w:rsidRPr="00800F41">
              <w:rPr>
                <w:b w:val="0"/>
                <w:bCs/>
              </w:rPr>
              <w:t>абот</w:t>
            </w:r>
            <w:proofErr w:type="spellEnd"/>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proofErr w:type="gramStart"/>
            <w:r w:rsidRPr="00800F41">
              <w:rPr>
                <w:sz w:val="22"/>
                <w:szCs w:val="22"/>
              </w:rPr>
              <w:t xml:space="preserve">____________________, именуемое далее «Подрядчик», в лице ________________, действующего на основании ______________, </w:t>
            </w:r>
            <w:proofErr w:type="gramEnd"/>
          </w:p>
          <w:p w:rsidR="009D606D" w:rsidRPr="00800F41" w:rsidRDefault="009D606D" w:rsidP="009D606D">
            <w:pPr>
              <w:ind w:firstLine="0"/>
              <w:rPr>
                <w:sz w:val="22"/>
                <w:szCs w:val="22"/>
              </w:rPr>
            </w:pPr>
            <w:proofErr w:type="gramStart"/>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 xml:space="preserve">дряда №______ </w:t>
            </w:r>
            <w:proofErr w:type="gramStart"/>
            <w:r w:rsidRPr="00800F41">
              <w:rPr>
                <w:bCs/>
                <w:sz w:val="22"/>
                <w:szCs w:val="22"/>
              </w:rPr>
              <w:t>от</w:t>
            </w:r>
            <w:proofErr w:type="gramEnd"/>
            <w:r w:rsidRPr="00800F41">
              <w:rPr>
                <w:bCs/>
                <w:sz w:val="22"/>
                <w:szCs w:val="22"/>
              </w:rPr>
              <w:t xml:space="preserve">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proofErr w:type="gramStart"/>
            <w:r w:rsidRPr="00800F41">
              <w:rPr>
                <w:sz w:val="22"/>
                <w:szCs w:val="22"/>
              </w:rPr>
              <w:t xml:space="preserve">____________________, именуемое далее «Подрядчик», в лице ________________, действующего на основании ______________, </w:t>
            </w:r>
            <w:proofErr w:type="gramEnd"/>
          </w:p>
          <w:p w:rsidR="009D606D" w:rsidRPr="00800F41" w:rsidRDefault="009D606D" w:rsidP="009D606D">
            <w:pPr>
              <w:ind w:firstLine="0"/>
              <w:rPr>
                <w:sz w:val="22"/>
                <w:szCs w:val="22"/>
              </w:rPr>
            </w:pPr>
            <w:proofErr w:type="gramStart"/>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w:t>
            </w:r>
            <w:proofErr w:type="gramStart"/>
            <w:r w:rsidRPr="00800F41">
              <w:rPr>
                <w:bCs/>
                <w:sz w:val="22"/>
                <w:szCs w:val="22"/>
              </w:rPr>
              <w:t>от</w:t>
            </w:r>
            <w:proofErr w:type="gramEnd"/>
            <w:r w:rsidRPr="00800F41">
              <w:rPr>
                <w:bCs/>
                <w:sz w:val="22"/>
                <w:szCs w:val="22"/>
              </w:rPr>
              <w:t xml:space="preserve">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 </w:t>
            </w:r>
            <w:proofErr w:type="gramStart"/>
            <w:r w:rsidRPr="00800F41">
              <w:rPr>
                <w:bCs/>
                <w:snapToGrid/>
                <w:sz w:val="22"/>
                <w:szCs w:val="22"/>
              </w:rPr>
              <w:t>п</w:t>
            </w:r>
            <w:proofErr w:type="gramEnd"/>
            <w:r w:rsidRPr="00800F41">
              <w:rPr>
                <w:bCs/>
                <w:snapToGrid/>
                <w:sz w:val="22"/>
                <w:szCs w:val="22"/>
              </w:rPr>
              <w:t>/п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w:t>
            </w:r>
            <w:proofErr w:type="gramStart"/>
            <w:r w:rsidRPr="00800F41">
              <w:rPr>
                <w:bCs/>
                <w:snapToGrid/>
                <w:sz w:val="22"/>
                <w:szCs w:val="22"/>
              </w:rPr>
              <w:t>выдан</w:t>
            </w:r>
            <w:proofErr w:type="gramEnd"/>
            <w:r w:rsidRPr="00800F41">
              <w:rPr>
                <w:bCs/>
                <w:snapToGrid/>
                <w:sz w:val="22"/>
                <w:szCs w:val="22"/>
              </w:rPr>
              <w:t xml:space="preserve">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 xml:space="preserve">пропускного и </w:t>
      </w:r>
      <w:proofErr w:type="spellStart"/>
      <w:r w:rsidRPr="00800F41">
        <w:rPr>
          <w:b/>
          <w:bCs/>
          <w:sz w:val="24"/>
          <w:szCs w:val="24"/>
        </w:rPr>
        <w:t>внутриобъектового</w:t>
      </w:r>
      <w:proofErr w:type="spellEnd"/>
      <w:r w:rsidRPr="00800F41">
        <w:rPr>
          <w:b/>
          <w:bCs/>
          <w:sz w:val="24"/>
          <w:szCs w:val="24"/>
        </w:rPr>
        <w:t xml:space="preserve">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w:t>
            </w:r>
            <w:proofErr w:type="spellStart"/>
            <w:r w:rsidRPr="00800F41">
              <w:rPr>
                <w:sz w:val="24"/>
              </w:rPr>
              <w:t>внутриобъектового</w:t>
            </w:r>
            <w:proofErr w:type="spellEnd"/>
            <w:r w:rsidRPr="00800F41">
              <w:rPr>
                <w:sz w:val="24"/>
              </w:rPr>
              <w:t xml:space="preserve">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00F41">
              <w:rPr>
                <w:snapToGrid/>
                <w:sz w:val="18"/>
                <w:szCs w:val="18"/>
              </w:rPr>
              <w:t>фед</w:t>
            </w:r>
            <w:proofErr w:type="gramStart"/>
            <w:r w:rsidRPr="00800F41">
              <w:rPr>
                <w:snapToGrid/>
                <w:sz w:val="18"/>
                <w:szCs w:val="18"/>
              </w:rPr>
              <w:t>.о</w:t>
            </w:r>
            <w:proofErr w:type="gramEnd"/>
            <w:r w:rsidRPr="00800F41">
              <w:rPr>
                <w:snapToGrid/>
                <w:sz w:val="18"/>
                <w:szCs w:val="18"/>
              </w:rPr>
              <w:t>круг</w:t>
            </w:r>
            <w:proofErr w:type="spellEnd"/>
            <w:r w:rsidRPr="00800F41">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00F41">
              <w:rPr>
                <w:snapToGrid/>
                <w:sz w:val="18"/>
                <w:szCs w:val="18"/>
              </w:rPr>
              <w:t>на</w:t>
            </w:r>
            <w:proofErr w:type="gramEnd"/>
            <w:r w:rsidRPr="00800F41">
              <w:rPr>
                <w:snapToGrid/>
                <w:sz w:val="18"/>
                <w:szCs w:val="18"/>
              </w:rPr>
              <w:t xml:space="preserve">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 xml:space="preserve">Страна </w:t>
            </w:r>
            <w:proofErr w:type="gramStart"/>
            <w:r w:rsidRPr="00800F41">
              <w:rPr>
                <w:snapToGrid/>
                <w:sz w:val="18"/>
                <w:szCs w:val="18"/>
              </w:rPr>
              <w:t>происхождения товара/регистрации производителя товара</w:t>
            </w:r>
            <w:proofErr w:type="gramEnd"/>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proofErr w:type="gramStart"/>
            <w:r w:rsidRPr="00800F41">
              <w:rPr>
                <w:snapToGrid/>
                <w:sz w:val="18"/>
                <w:szCs w:val="20"/>
              </w:rPr>
              <w:t>Стоимость договора (с</w:t>
            </w:r>
            <w:proofErr w:type="gramEnd"/>
          </w:p>
          <w:p w:rsidR="009D606D" w:rsidRPr="00800F41" w:rsidRDefault="009D606D" w:rsidP="009D606D">
            <w:pPr>
              <w:spacing w:line="240" w:lineRule="auto"/>
              <w:ind w:firstLine="0"/>
              <w:jc w:val="center"/>
              <w:rPr>
                <w:snapToGrid/>
                <w:sz w:val="18"/>
                <w:szCs w:val="20"/>
              </w:rPr>
            </w:pPr>
            <w:proofErr w:type="gramStart"/>
            <w:r w:rsidRPr="00800F41">
              <w:rPr>
                <w:snapToGrid/>
                <w:sz w:val="18"/>
                <w:szCs w:val="20"/>
              </w:rPr>
              <w:t>НДС)</w:t>
            </w:r>
            <w:proofErr w:type="gramEnd"/>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w:t>
            </w:r>
            <w:proofErr w:type="spellStart"/>
            <w:r w:rsidRPr="00800F41">
              <w:rPr>
                <w:snapToGrid/>
                <w:sz w:val="18"/>
                <w:szCs w:val="20"/>
              </w:rPr>
              <w:t>микропредприятие</w:t>
            </w:r>
            <w:proofErr w:type="spellEnd"/>
            <w:r w:rsidRPr="00800F41">
              <w:rPr>
                <w:snapToGrid/>
                <w:sz w:val="18"/>
                <w:szCs w:val="20"/>
              </w:rPr>
              <w:t>/малое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 xml:space="preserve">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800F41">
        <w:rPr>
          <w:snapToGrid/>
          <w:sz w:val="20"/>
          <w:szCs w:val="20"/>
        </w:rPr>
        <w:t>микропредприятия</w:t>
      </w:r>
      <w:proofErr w:type="spellEnd"/>
      <w:r w:rsidRPr="00800F41">
        <w:rPr>
          <w:snapToGrid/>
          <w:sz w:val="20"/>
          <w:szCs w:val="20"/>
        </w:rPr>
        <w:t>,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4"/>
          <w:footerReference w:type="default" r:id="rId15"/>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proofErr w:type="gramStart"/>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roofErr w:type="gramEnd"/>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 </w:t>
      </w:r>
      <w:proofErr w:type="gramStart"/>
      <w:r w:rsidRPr="00800F41">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history="1">
        <w:r w:rsidRPr="00800F41">
          <w:rPr>
            <w:sz w:val="22"/>
            <w:szCs w:val="22"/>
          </w:rPr>
          <w:t>№ 18162/09</w:t>
        </w:r>
      </w:hyperlink>
      <w:r w:rsidRPr="00800F41">
        <w:rPr>
          <w:sz w:val="22"/>
          <w:szCs w:val="22"/>
        </w:rPr>
        <w:t xml:space="preserve"> и от 25.05.2010 </w:t>
      </w:r>
      <w:hyperlink r:id="rId17" w:history="1">
        <w:r w:rsidRPr="00800F41">
          <w:rPr>
            <w:sz w:val="22"/>
            <w:szCs w:val="22"/>
          </w:rPr>
          <w:t>№ 15658/09</w:t>
        </w:r>
      </w:hyperlink>
      <w:r w:rsidRPr="00800F41">
        <w:rPr>
          <w:sz w:val="22"/>
          <w:szCs w:val="22"/>
        </w:rPr>
        <w:t>, согласно которым при оценке необоснованной налоговой</w:t>
      </w:r>
      <w:proofErr w:type="gramEnd"/>
      <w:r w:rsidRPr="00800F41">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8" w:history="1">
        <w:proofErr w:type="gramStart"/>
        <w:r w:rsidRPr="00800F41">
          <w:rPr>
            <w:sz w:val="22"/>
            <w:szCs w:val="22"/>
          </w:rPr>
          <w:t>Критери</w:t>
        </w:r>
      </w:hyperlink>
      <w:r w:rsidRPr="00800F41">
        <w:rPr>
          <w:sz w:val="22"/>
          <w:szCs w:val="22"/>
        </w:rPr>
        <w:t>ям</w:t>
      </w:r>
      <w:proofErr w:type="gramEnd"/>
      <w:r w:rsidRPr="00800F41">
        <w:rPr>
          <w:sz w:val="22"/>
          <w:szCs w:val="22"/>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w:t>
      </w:r>
      <w:proofErr w:type="gramStart"/>
      <w:r w:rsidRPr="00800F41">
        <w:rPr>
          <w:sz w:val="22"/>
          <w:szCs w:val="22"/>
        </w:rPr>
        <w:t xml:space="preserve"> (-</w:t>
      </w:r>
      <w:proofErr w:type="spellStart"/>
      <w:proofErr w:type="gramEnd"/>
      <w:r w:rsidRPr="00800F41">
        <w:rPr>
          <w:sz w:val="22"/>
          <w:szCs w:val="22"/>
        </w:rPr>
        <w:t>ов</w:t>
      </w:r>
      <w:proofErr w:type="spellEnd"/>
      <w:r w:rsidRPr="00800F41">
        <w:rPr>
          <w:sz w:val="22"/>
          <w:szCs w:val="22"/>
        </w:rPr>
        <w:t xml:space="preserve">).  </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w:t>
      </w:r>
      <w:proofErr w:type="spellStart"/>
      <w:r w:rsidRPr="00800F41">
        <w:rPr>
          <w:sz w:val="22"/>
          <w:szCs w:val="22"/>
        </w:rPr>
        <w:t>п.п</w:t>
      </w:r>
      <w:proofErr w:type="spellEnd"/>
      <w:r w:rsidRPr="00800F41">
        <w:rPr>
          <w:sz w:val="22"/>
          <w:szCs w:val="22"/>
        </w:rPr>
        <w:t xml:space="preserve">.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w:t>
      </w:r>
      <w:proofErr w:type="gramStart"/>
      <w:r w:rsidRPr="00800F41">
        <w:rPr>
          <w:sz w:val="22"/>
          <w:szCs w:val="22"/>
        </w:rPr>
        <w:t>а(</w:t>
      </w:r>
      <w:proofErr w:type="gramEnd"/>
      <w:r w:rsidRPr="00800F41">
        <w:rPr>
          <w:sz w:val="22"/>
          <w:szCs w:val="22"/>
        </w:rPr>
        <w:t>-</w:t>
      </w:r>
      <w:proofErr w:type="spellStart"/>
      <w:r w:rsidRPr="00800F41">
        <w:rPr>
          <w:sz w:val="22"/>
          <w:szCs w:val="22"/>
        </w:rPr>
        <w:t>ов</w:t>
      </w:r>
      <w:proofErr w:type="spellEnd"/>
      <w:r w:rsidRPr="00800F41">
        <w:rPr>
          <w:sz w:val="22"/>
          <w:szCs w:val="22"/>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00F41">
        <w:rPr>
          <w:sz w:val="22"/>
          <w:szCs w:val="22"/>
        </w:rPr>
        <w:t>с даты получения</w:t>
      </w:r>
      <w:proofErr w:type="gramEnd"/>
      <w:r w:rsidRPr="00800F41">
        <w:rPr>
          <w:sz w:val="22"/>
          <w:szCs w:val="22"/>
        </w:rPr>
        <w:t xml:space="preserve"> Уведомления </w:t>
      </w:r>
      <w:r w:rsidRPr="00800F41">
        <w:rPr>
          <w:i/>
          <w:sz w:val="22"/>
          <w:szCs w:val="22"/>
        </w:rPr>
        <w:t>Подрядчиком</w:t>
      </w:r>
      <w:r w:rsidRPr="00800F41">
        <w:rPr>
          <w:sz w:val="22"/>
          <w:szCs w:val="22"/>
        </w:rPr>
        <w:t>.</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proofErr w:type="spellStart"/>
      <w:r w:rsidRPr="00800F41">
        <w:rPr>
          <w:i/>
          <w:sz w:val="22"/>
          <w:szCs w:val="22"/>
        </w:rPr>
        <w:t>Заказчику</w:t>
      </w:r>
      <w:r w:rsidRPr="00800F41">
        <w:rPr>
          <w:sz w:val="22"/>
          <w:szCs w:val="22"/>
        </w:rPr>
        <w:t>в</w:t>
      </w:r>
      <w:proofErr w:type="spellEnd"/>
      <w:r w:rsidRPr="00800F41">
        <w:rPr>
          <w:sz w:val="22"/>
          <w:szCs w:val="22"/>
        </w:rPr>
        <w:t xml:space="preserve"> результате нарушения обязательств, установленных в </w:t>
      </w:r>
      <w:proofErr w:type="spellStart"/>
      <w:r w:rsidRPr="00800F41">
        <w:rPr>
          <w:sz w:val="22"/>
          <w:szCs w:val="22"/>
        </w:rPr>
        <w:t>п.п</w:t>
      </w:r>
      <w:proofErr w:type="spellEnd"/>
      <w:r w:rsidRPr="00800F41">
        <w:rPr>
          <w:sz w:val="22"/>
          <w:szCs w:val="22"/>
        </w:rPr>
        <w:t>. 1, 2  настоящего Гарантийного письма, сверх суммы штрафа.</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w:t>
      </w:r>
      <w:proofErr w:type="gramStart"/>
      <w:r w:rsidRPr="00800F41">
        <w:rPr>
          <w:sz w:val="22"/>
          <w:szCs w:val="22"/>
        </w:rPr>
        <w:t>с даты получения</w:t>
      </w:r>
      <w:proofErr w:type="gramEnd"/>
      <w:r w:rsidRPr="00800F41">
        <w:rPr>
          <w:sz w:val="22"/>
          <w:szCs w:val="22"/>
        </w:rPr>
        <w:t xml:space="preserve">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w:t>
      </w:r>
      <w:proofErr w:type="gramStart"/>
      <w:r w:rsidRPr="00800F41">
        <w:rPr>
          <w:sz w:val="22"/>
          <w:szCs w:val="22"/>
        </w:rPr>
        <w:t xml:space="preserve"> (-</w:t>
      </w:r>
      <w:proofErr w:type="spellStart"/>
      <w:proofErr w:type="gramEnd"/>
      <w:r w:rsidRPr="00800F41">
        <w:rPr>
          <w:sz w:val="22"/>
          <w:szCs w:val="22"/>
        </w:rPr>
        <w:t>ов</w:t>
      </w:r>
      <w:proofErr w:type="spellEnd"/>
      <w:r w:rsidRPr="00800F41">
        <w:rPr>
          <w:sz w:val="22"/>
          <w:szCs w:val="22"/>
        </w:rPr>
        <w:t>) в соответствии с п. 4 настоящего Гарантийного письма.</w:t>
      </w:r>
    </w:p>
    <w:p w:rsidR="009D606D" w:rsidRPr="00800F41" w:rsidRDefault="009D606D" w:rsidP="009D606D">
      <w:pPr>
        <w:numPr>
          <w:ilvl w:val="0"/>
          <w:numId w:val="113"/>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w:t>
      </w:r>
      <w:proofErr w:type="gramStart"/>
      <w:r w:rsidRPr="00800F41">
        <w:rPr>
          <w:sz w:val="22"/>
          <w:szCs w:val="22"/>
        </w:rPr>
        <w:t>у(</w:t>
      </w:r>
      <w:proofErr w:type="gramEnd"/>
      <w:r w:rsidRPr="00800F41">
        <w:rPr>
          <w:sz w:val="22"/>
          <w:szCs w:val="22"/>
        </w:rPr>
        <w:t>-</w:t>
      </w:r>
      <w:proofErr w:type="spellStart"/>
      <w:r w:rsidRPr="00800F41">
        <w:rPr>
          <w:sz w:val="22"/>
          <w:szCs w:val="22"/>
        </w:rPr>
        <w:t>ам</w:t>
      </w:r>
      <w:proofErr w:type="spellEnd"/>
      <w:r w:rsidRPr="00800F41">
        <w:rPr>
          <w:sz w:val="22"/>
          <w:szCs w:val="22"/>
        </w:rPr>
        <w:t>).</w:t>
      </w:r>
    </w:p>
    <w:p w:rsidR="009D606D" w:rsidRPr="00800F41" w:rsidRDefault="009D606D" w:rsidP="009D606D">
      <w:pPr>
        <w:numPr>
          <w:ilvl w:val="0"/>
          <w:numId w:val="113"/>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w:t>
      </w:r>
      <w:proofErr w:type="gramStart"/>
      <w:r w:rsidRPr="00800F41">
        <w:rPr>
          <w:sz w:val="22"/>
          <w:szCs w:val="22"/>
        </w:rPr>
        <w:t>подписании</w:t>
      </w:r>
      <w:proofErr w:type="gramEnd"/>
      <w:r w:rsidRPr="00800F41">
        <w:rPr>
          <w:sz w:val="22"/>
          <w:szCs w:val="22"/>
        </w:rPr>
        <w:t>, действуют до полного исполнения Договора (-</w:t>
      </w:r>
      <w:proofErr w:type="spellStart"/>
      <w:r w:rsidRPr="00800F41">
        <w:rPr>
          <w:sz w:val="22"/>
          <w:szCs w:val="22"/>
        </w:rPr>
        <w:t>ов</w:t>
      </w:r>
      <w:proofErr w:type="spellEnd"/>
      <w:r w:rsidRPr="00800F41">
        <w:rPr>
          <w:sz w:val="22"/>
          <w:szCs w:val="22"/>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800F41">
        <w:rPr>
          <w:sz w:val="22"/>
          <w:szCs w:val="22"/>
        </w:rPr>
        <w:t xml:space="preserve"> (-</w:t>
      </w:r>
      <w:proofErr w:type="spellStart"/>
      <w:proofErr w:type="gramEnd"/>
      <w:r w:rsidRPr="00800F41">
        <w:rPr>
          <w:sz w:val="22"/>
          <w:szCs w:val="22"/>
        </w:rPr>
        <w:t>ов</w:t>
      </w:r>
      <w:proofErr w:type="spellEnd"/>
      <w:r w:rsidRPr="00800F41">
        <w:rPr>
          <w:sz w:val="22"/>
          <w:szCs w:val="22"/>
        </w:rPr>
        <w:t xml:space="preserve">).  </w:t>
      </w:r>
    </w:p>
    <w:p w:rsidR="009D606D" w:rsidRPr="00800F41" w:rsidRDefault="009D606D" w:rsidP="009D606D">
      <w:pPr>
        <w:numPr>
          <w:ilvl w:val="0"/>
          <w:numId w:val="113"/>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9"/>
      <w:footerReference w:type="default" r:id="rId20"/>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478" w:rsidRDefault="00515478">
      <w:r>
        <w:separator/>
      </w:r>
    </w:p>
  </w:endnote>
  <w:endnote w:type="continuationSeparator" w:id="0">
    <w:p w:rsidR="00515478" w:rsidRDefault="00515478">
      <w:r>
        <w:continuationSeparator/>
      </w:r>
    </w:p>
  </w:endnote>
  <w:endnote w:type="continuationNotice" w:id="1">
    <w:p w:rsidR="00515478" w:rsidRDefault="005154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09" w:rsidRPr="00800F41" w:rsidRDefault="00194A09" w:rsidP="00800F41">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09" w:rsidRPr="00800F41" w:rsidRDefault="00194A09" w:rsidP="00800F41">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478" w:rsidRDefault="00515478">
      <w:r>
        <w:separator/>
      </w:r>
    </w:p>
  </w:footnote>
  <w:footnote w:type="continuationSeparator" w:id="0">
    <w:p w:rsidR="00515478" w:rsidRDefault="00515478">
      <w:r>
        <w:continuationSeparator/>
      </w:r>
    </w:p>
  </w:footnote>
  <w:footnote w:type="continuationNotice" w:id="1">
    <w:p w:rsidR="00515478" w:rsidRDefault="00515478">
      <w:pPr>
        <w:spacing w:line="240" w:lineRule="auto"/>
      </w:pPr>
    </w:p>
  </w:footnote>
  <w:footnote w:id="2">
    <w:p w:rsidR="00194A09" w:rsidRDefault="00194A09" w:rsidP="00C2118D">
      <w:pPr>
        <w:pStyle w:val="a7"/>
        <w:jc w:val="both"/>
      </w:pPr>
      <w:r>
        <w:rPr>
          <w:rStyle w:val="a9"/>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3">
    <w:p w:rsidR="00194A09" w:rsidRDefault="00194A09" w:rsidP="00C2118D">
      <w:pPr>
        <w:pStyle w:val="a7"/>
        <w:jc w:val="both"/>
      </w:pPr>
      <w:r>
        <w:rPr>
          <w:rStyle w:val="a9"/>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09" w:rsidRDefault="00194A09" w:rsidP="00075088">
    <w:pPr>
      <w:pStyle w:val="a4"/>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09" w:rsidRDefault="00194A09" w:rsidP="00075088">
    <w:pPr>
      <w:pStyle w:val="a4"/>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2944728"/>
    <w:lvl w:ilvl="0">
      <w:start w:val="1"/>
      <w:numFmt w:val="decimal"/>
      <w:pStyle w:val="a"/>
      <w:lvlText w:val="%1."/>
      <w:lvlJc w:val="left"/>
      <w:pPr>
        <w:tabs>
          <w:tab w:val="num" w:pos="360"/>
        </w:tabs>
        <w:ind w:left="360" w:hanging="360"/>
      </w:pPr>
    </w:lvl>
  </w:abstractNum>
  <w:abstractNum w:abstractNumId="1">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7">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2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1183FB0"/>
    <w:multiLevelType w:val="hybridMultilevel"/>
    <w:tmpl w:val="CC2673C8"/>
    <w:lvl w:ilvl="0" w:tplc="946A2326">
      <w:start w:val="1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1">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nsid w:val="7AF5492B"/>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3"/>
  </w:num>
  <w:num w:numId="3">
    <w:abstractNumId w:val="78"/>
  </w:num>
  <w:num w:numId="4">
    <w:abstractNumId w:val="2"/>
  </w:num>
  <w:num w:numId="5">
    <w:abstractNumId w:val="105"/>
  </w:num>
  <w:num w:numId="6">
    <w:abstractNumId w:val="75"/>
  </w:num>
  <w:num w:numId="7">
    <w:abstractNumId w:val="97"/>
  </w:num>
  <w:num w:numId="8">
    <w:abstractNumId w:val="90"/>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59"/>
  </w:num>
  <w:num w:numId="13">
    <w:abstractNumId w:val="85"/>
  </w:num>
  <w:num w:numId="14">
    <w:abstractNumId w:val="29"/>
  </w:num>
  <w:num w:numId="15">
    <w:abstractNumId w:val="62"/>
  </w:num>
  <w:num w:numId="16">
    <w:abstractNumId w:val="38"/>
  </w:num>
  <w:num w:numId="17">
    <w:abstractNumId w:val="47"/>
  </w:num>
  <w:num w:numId="18">
    <w:abstractNumId w:val="95"/>
  </w:num>
  <w:num w:numId="19">
    <w:abstractNumId w:val="21"/>
  </w:num>
  <w:num w:numId="20">
    <w:abstractNumId w:val="81"/>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3"/>
  </w:num>
  <w:num w:numId="24">
    <w:abstractNumId w:val="76"/>
  </w:num>
  <w:num w:numId="25">
    <w:abstractNumId w:val="103"/>
  </w:num>
  <w:num w:numId="26">
    <w:abstractNumId w:val="46"/>
  </w:num>
  <w:num w:numId="27">
    <w:abstractNumId w:val="56"/>
  </w:num>
  <w:num w:numId="28">
    <w:abstractNumId w:val="7"/>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7"/>
  </w:num>
  <w:num w:numId="35">
    <w:abstractNumId w:val="88"/>
  </w:num>
  <w:num w:numId="36">
    <w:abstractNumId w:val="8"/>
  </w:num>
  <w:num w:numId="37">
    <w:abstractNumId w:val="66"/>
  </w:num>
  <w:num w:numId="38">
    <w:abstractNumId w:val="94"/>
  </w:num>
  <w:num w:numId="39">
    <w:abstractNumId w:val="98"/>
  </w:num>
  <w:num w:numId="40">
    <w:abstractNumId w:val="84"/>
  </w:num>
  <w:num w:numId="41">
    <w:abstractNumId w:val="53"/>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1"/>
  </w:num>
  <w:num w:numId="48">
    <w:abstractNumId w:val="52"/>
  </w:num>
  <w:num w:numId="49">
    <w:abstractNumId w:val="67"/>
  </w:num>
  <w:num w:numId="50">
    <w:abstractNumId w:val="101"/>
  </w:num>
  <w:num w:numId="51">
    <w:abstractNumId w:val="71"/>
  </w:num>
  <w:num w:numId="52">
    <w:abstractNumId w:val="42"/>
  </w:num>
  <w:num w:numId="53">
    <w:abstractNumId w:val="39"/>
  </w:num>
  <w:num w:numId="54">
    <w:abstractNumId w:val="13"/>
  </w:num>
  <w:num w:numId="55">
    <w:abstractNumId w:val="104"/>
  </w:num>
  <w:num w:numId="56">
    <w:abstractNumId w:val="55"/>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7"/>
  </w:num>
  <w:num w:numId="61">
    <w:abstractNumId w:val="43"/>
  </w:num>
  <w:num w:numId="62">
    <w:abstractNumId w:val="19"/>
  </w:num>
  <w:num w:numId="63">
    <w:abstractNumId w:val="91"/>
  </w:num>
  <w:num w:numId="64">
    <w:abstractNumId w:val="31"/>
  </w:num>
  <w:num w:numId="65">
    <w:abstractNumId w:val="89"/>
  </w:num>
  <w:num w:numId="66">
    <w:abstractNumId w:val="35"/>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
  </w:num>
  <w:num w:numId="70">
    <w:abstractNumId w:val="86"/>
  </w:num>
  <w:num w:numId="71">
    <w:abstractNumId w:val="1"/>
  </w:num>
  <w:num w:numId="72">
    <w:abstractNumId w:val="5"/>
  </w:num>
  <w:num w:numId="73">
    <w:abstractNumId w:val="99"/>
  </w:num>
  <w:num w:numId="74">
    <w:abstractNumId w:val="16"/>
  </w:num>
  <w:num w:numId="75">
    <w:abstractNumId w:val="25"/>
  </w:num>
  <w:num w:numId="76">
    <w:abstractNumId w:val="12"/>
  </w:num>
  <w:num w:numId="77">
    <w:abstractNumId w:val="51"/>
  </w:num>
  <w:num w:numId="78">
    <w:abstractNumId w:val="34"/>
  </w:num>
  <w:num w:numId="79">
    <w:abstractNumId w:val="44"/>
  </w:num>
  <w:num w:numId="80">
    <w:abstractNumId w:val="24"/>
  </w:num>
  <w:num w:numId="81">
    <w:abstractNumId w:val="80"/>
  </w:num>
  <w:num w:numId="82">
    <w:abstractNumId w:val="45"/>
  </w:num>
  <w:num w:numId="83">
    <w:abstractNumId w:val="6"/>
  </w:num>
  <w:num w:numId="84">
    <w:abstractNumId w:val="4"/>
  </w:num>
  <w:num w:numId="85">
    <w:abstractNumId w:val="28"/>
  </w:num>
  <w:num w:numId="86">
    <w:abstractNumId w:val="41"/>
  </w:num>
  <w:num w:numId="87">
    <w:abstractNumId w:val="73"/>
  </w:num>
  <w:num w:numId="88">
    <w:abstractNumId w:val="60"/>
  </w:num>
  <w:num w:numId="89">
    <w:abstractNumId w:val="83"/>
  </w:num>
  <w:num w:numId="90">
    <w:abstractNumId w:val="64"/>
  </w:num>
  <w:num w:numId="91">
    <w:abstractNumId w:val="68"/>
  </w:num>
  <w:num w:numId="92">
    <w:abstractNumId w:val="50"/>
  </w:num>
  <w:num w:numId="93">
    <w:abstractNumId w:val="18"/>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1"/>
  </w:num>
  <w:num w:numId="98">
    <w:abstractNumId w:val="26"/>
  </w:num>
  <w:num w:numId="99">
    <w:abstractNumId w:val="27"/>
  </w:num>
  <w:num w:numId="100">
    <w:abstractNumId w:val="70"/>
  </w:num>
  <w:num w:numId="101">
    <w:abstractNumId w:val="82"/>
  </w:num>
  <w:num w:numId="102">
    <w:abstractNumId w:val="20"/>
  </w:num>
  <w:num w:numId="103">
    <w:abstractNumId w:val="22"/>
  </w:num>
  <w:num w:numId="104">
    <w:abstractNumId w:val="49"/>
  </w:num>
  <w:num w:numId="105">
    <w:abstractNumId w:val="69"/>
  </w:num>
  <w:num w:numId="106">
    <w:abstractNumId w:val="3"/>
  </w:num>
  <w:num w:numId="107">
    <w:abstractNumId w:val="58"/>
  </w:num>
  <w:num w:numId="108">
    <w:abstractNumId w:val="14"/>
  </w:num>
  <w:num w:numId="109">
    <w:abstractNumId w:val="102"/>
  </w:num>
  <w:num w:numId="1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9"/>
  </w:num>
  <w:num w:numId="114">
    <w:abstractNumId w:val="32"/>
  </w:num>
  <w:num w:numId="115">
    <w:abstractNumId w:val="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F0818"/>
    <w:rsid w:val="00AF2334"/>
    <w:rsid w:val="00AF245C"/>
    <w:rsid w:val="00AF2868"/>
    <w:rsid w:val="00AF31B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0"/>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17"/>
      </w:numPr>
    </w:pPr>
    <w:rPr>
      <w:snapToGrid/>
    </w:rPr>
  </w:style>
  <w:style w:type="paragraph" w:customStyle="1" w:styleId="-1">
    <w:name w:val="Контракт-подпункт"/>
    <w:basedOn w:val="a0"/>
    <w:rsid w:val="00F43F0D"/>
    <w:pPr>
      <w:numPr>
        <w:ilvl w:val="2"/>
        <w:numId w:val="17"/>
      </w:numPr>
    </w:pPr>
    <w:rPr>
      <w:snapToGrid/>
    </w:rPr>
  </w:style>
  <w:style w:type="paragraph" w:customStyle="1" w:styleId="-2">
    <w:name w:val="Контракт-подподпункт"/>
    <w:basedOn w:val="a0"/>
    <w:rsid w:val="00F43F0D"/>
    <w:pPr>
      <w:numPr>
        <w:ilvl w:val="3"/>
        <w:numId w:val="17"/>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115"/>
      </w:numPr>
      <w:spacing w:line="240" w:lineRule="auto"/>
      <w:contextualSpacing/>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0"/>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17"/>
      </w:numPr>
    </w:pPr>
    <w:rPr>
      <w:snapToGrid/>
    </w:rPr>
  </w:style>
  <w:style w:type="paragraph" w:customStyle="1" w:styleId="-1">
    <w:name w:val="Контракт-подпункт"/>
    <w:basedOn w:val="a0"/>
    <w:rsid w:val="00F43F0D"/>
    <w:pPr>
      <w:numPr>
        <w:ilvl w:val="2"/>
        <w:numId w:val="17"/>
      </w:numPr>
    </w:pPr>
    <w:rPr>
      <w:snapToGrid/>
    </w:rPr>
  </w:style>
  <w:style w:type="paragraph" w:customStyle="1" w:styleId="-2">
    <w:name w:val="Контракт-подподпункт"/>
    <w:basedOn w:val="a0"/>
    <w:rsid w:val="00F43F0D"/>
    <w:pPr>
      <w:numPr>
        <w:ilvl w:val="3"/>
        <w:numId w:val="17"/>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115"/>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yperlink" Target="consultantplus://offline/ref=94D5CE8889791A29DE57299515463A9D6135D2287D929C803E6F853513x2A2P"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4D8237B999C803E6F853513x2A2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DD58F-DE2B-42E2-8C93-6F89D669F575}">
  <ds:schemaRefs>
    <ds:schemaRef ds:uri="http://schemas.openxmlformats.org/officeDocument/2006/bibliography"/>
  </ds:schemaRefs>
</ds:datastoreItem>
</file>

<file path=customXml/itemProps2.xml><?xml version="1.0" encoding="utf-8"?>
<ds:datastoreItem xmlns:ds="http://schemas.openxmlformats.org/officeDocument/2006/customXml" ds:itemID="{137A1AC6-8FB4-4269-90A2-99144D21F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31</Pages>
  <Words>14189</Words>
  <Characters>80878</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94878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Козинина Наталья Олеговна</cp:lastModifiedBy>
  <cp:revision>69</cp:revision>
  <cp:lastPrinted>2020-07-12T22:33:00Z</cp:lastPrinted>
  <dcterms:created xsi:type="dcterms:W3CDTF">2020-04-07T04:14:00Z</dcterms:created>
  <dcterms:modified xsi:type="dcterms:W3CDTF">2020-08-25T04:53:00Z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