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Pr="00C2118D">
        <w:rPr>
          <w:lang w:eastAsia="en-US"/>
        </w:rPr>
        <w:lastRenderedPageBreak/>
        <w:t xml:space="preserve">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lastRenderedPageBreak/>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7B38D1" w:rsidRDefault="004B090F" w:rsidP="007B38D1">
      <w:pPr>
        <w:pStyle w:val="ae"/>
        <w:numPr>
          <w:ilvl w:val="1"/>
          <w:numId w:val="6"/>
        </w:numPr>
        <w:shd w:val="clear" w:color="auto" w:fill="FFFFFF"/>
        <w:tabs>
          <w:tab w:val="left" w:pos="1134"/>
        </w:tabs>
        <w:ind w:left="0" w:firstLine="709"/>
        <w:jc w:val="both"/>
        <w:rPr>
          <w:b/>
          <w:bCs/>
          <w:i/>
        </w:rPr>
      </w:pPr>
      <w:bookmarkStart w:id="4" w:name="_Ref361410951"/>
      <w:r w:rsidRPr="00095F5C">
        <w:rPr>
          <w:bCs/>
        </w:rPr>
        <w:t xml:space="preserve">Подрядчик обязуется по заданию Заказчика </w:t>
      </w:r>
      <w:r w:rsidR="00B40A4F" w:rsidRPr="00095F5C">
        <w:rPr>
          <w:bCs/>
        </w:rPr>
        <w:t xml:space="preserve">в соответствии с Техническими </w:t>
      </w:r>
      <w:r w:rsidR="00496E24" w:rsidRPr="00095F5C">
        <w:rPr>
          <w:bCs/>
        </w:rPr>
        <w:t>требовани</w:t>
      </w:r>
      <w:r w:rsidR="00B40A4F" w:rsidRPr="00095F5C">
        <w:rPr>
          <w:bCs/>
        </w:rPr>
        <w:t>ями</w:t>
      </w:r>
      <w:r w:rsidR="009058C4" w:rsidRPr="00095F5C">
        <w:rPr>
          <w:bCs/>
        </w:rPr>
        <w:t xml:space="preserve"> (Приложение № 1 к Договору) </w:t>
      </w:r>
      <w:r w:rsidR="00AB7F51" w:rsidRPr="00095F5C">
        <w:rPr>
          <w:bCs/>
        </w:rPr>
        <w:t xml:space="preserve">выполнить работы по </w:t>
      </w:r>
      <w:r w:rsidR="0042472B" w:rsidRPr="00095F5C">
        <w:rPr>
          <w:bCs/>
          <w:i/>
        </w:rPr>
        <w:t xml:space="preserve">строительству объекта </w:t>
      </w:r>
      <w:r w:rsidR="007B38D1" w:rsidRPr="007B38D1">
        <w:rPr>
          <w:b/>
          <w:bCs/>
          <w:i/>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r w:rsidR="007B38D1" w:rsidRPr="007B38D1">
        <w:rPr>
          <w:b/>
          <w:bCs/>
          <w:i/>
        </w:rPr>
        <w:br/>
        <w:t>на территории СП "ПЮЭС" и "ПЦЭС" филиала "Приморские ЭС"(г. Партизанск, заявитель КГУП «Примтеплоэнерго»)</w:t>
      </w:r>
      <w:r w:rsidR="00806EB1" w:rsidRPr="007B38D1">
        <w:rPr>
          <w:bCs/>
        </w:rPr>
        <w:t xml:space="preserve"> </w:t>
      </w:r>
      <w:r w:rsidR="00226447" w:rsidRPr="007B38D1">
        <w:rPr>
          <w:bCs/>
        </w:rPr>
        <w:t xml:space="preserve">(далее </w:t>
      </w:r>
      <w:r w:rsidR="00F01BED" w:rsidRPr="007B38D1">
        <w:rPr>
          <w:bCs/>
        </w:rPr>
        <w:t xml:space="preserve">по тексту </w:t>
      </w:r>
      <w:r w:rsidR="00226447" w:rsidRPr="007B38D1">
        <w:rPr>
          <w:bCs/>
        </w:rPr>
        <w:t>–</w:t>
      </w:r>
      <w:r w:rsidR="00254121" w:rsidRPr="007B38D1">
        <w:rPr>
          <w:bCs/>
        </w:rPr>
        <w:t xml:space="preserve"> </w:t>
      </w:r>
      <w:r w:rsidR="002E0762" w:rsidRPr="007B38D1">
        <w:rPr>
          <w:bCs/>
        </w:rPr>
        <w:t>«</w:t>
      </w:r>
      <w:r w:rsidR="00A2715B" w:rsidRPr="007B38D1">
        <w:rPr>
          <w:bCs/>
        </w:rPr>
        <w:t>Работы</w:t>
      </w:r>
      <w:r w:rsidR="002E0762" w:rsidRPr="007B38D1">
        <w:rPr>
          <w:bCs/>
        </w:rPr>
        <w:t>»</w:t>
      </w:r>
      <w:r w:rsidR="00226447" w:rsidRPr="007B38D1">
        <w:rPr>
          <w:bCs/>
        </w:rPr>
        <w:t>)</w:t>
      </w:r>
      <w:r w:rsidR="00C94C81" w:rsidRPr="007B38D1">
        <w:rPr>
          <w:bCs/>
        </w:rPr>
        <w:t xml:space="preserve">, </w:t>
      </w:r>
      <w:r w:rsidR="009058C4" w:rsidRPr="007B38D1">
        <w:rPr>
          <w:bCs/>
        </w:rPr>
        <w:t xml:space="preserve">а также сдать </w:t>
      </w:r>
      <w:r w:rsidR="00BD311A" w:rsidRPr="007B38D1">
        <w:rPr>
          <w:bCs/>
        </w:rPr>
        <w:t>Р</w:t>
      </w:r>
      <w:r w:rsidR="009058C4" w:rsidRPr="007B38D1">
        <w:rPr>
          <w:bCs/>
        </w:rPr>
        <w:t xml:space="preserve">езультат </w:t>
      </w:r>
      <w:r w:rsidR="00BD311A" w:rsidRPr="007B38D1">
        <w:rPr>
          <w:bCs/>
        </w:rPr>
        <w:t>Работ</w:t>
      </w:r>
      <w:r w:rsidR="003606DA" w:rsidRPr="007B38D1">
        <w:rPr>
          <w:bCs/>
        </w:rPr>
        <w:t xml:space="preserve"> </w:t>
      </w:r>
      <w:r w:rsidR="009058C4" w:rsidRPr="007B38D1">
        <w:rPr>
          <w:bCs/>
        </w:rPr>
        <w:t xml:space="preserve">Заказчику, а </w:t>
      </w:r>
      <w:r w:rsidR="00C94C81" w:rsidRPr="007B38D1">
        <w:rPr>
          <w:bCs/>
        </w:rPr>
        <w:t>Заказчик обязуется</w:t>
      </w:r>
      <w:r w:rsidR="00364822" w:rsidRPr="007B38D1">
        <w:rPr>
          <w:bCs/>
        </w:rPr>
        <w:t xml:space="preserve"> </w:t>
      </w:r>
      <w:r w:rsidR="00C94C81" w:rsidRPr="007B38D1">
        <w:rPr>
          <w:bCs/>
        </w:rPr>
        <w:t xml:space="preserve">создать Подрядчику указанные в Договоре условия для выполнения Работ, принять </w:t>
      </w:r>
      <w:r w:rsidR="00191916" w:rsidRPr="007B38D1">
        <w:rPr>
          <w:bCs/>
        </w:rPr>
        <w:t>Р</w:t>
      </w:r>
      <w:r w:rsidR="00C94C81" w:rsidRPr="007B38D1">
        <w:rPr>
          <w:bCs/>
        </w:rPr>
        <w:t>езультат</w:t>
      </w:r>
      <w:r w:rsidR="00BF2D02" w:rsidRPr="007B38D1">
        <w:rPr>
          <w:bCs/>
        </w:rPr>
        <w:t xml:space="preserve"> </w:t>
      </w:r>
      <w:r w:rsidR="007A0BA9" w:rsidRPr="007B38D1">
        <w:rPr>
          <w:bCs/>
        </w:rPr>
        <w:t>Работ</w:t>
      </w:r>
      <w:r w:rsidR="00BF2D02" w:rsidRPr="007B38D1">
        <w:rPr>
          <w:bCs/>
        </w:rPr>
        <w:t xml:space="preserve"> </w:t>
      </w:r>
      <w:r w:rsidR="00C94C81" w:rsidRPr="007B38D1">
        <w:rPr>
          <w:bCs/>
        </w:rPr>
        <w:t xml:space="preserve">и уплатить </w:t>
      </w:r>
      <w:r w:rsidR="00BD311A" w:rsidRPr="007B38D1">
        <w:rPr>
          <w:bCs/>
        </w:rPr>
        <w:t>Цену Договора</w:t>
      </w:r>
      <w:r w:rsidR="00020455" w:rsidRPr="007B38D1">
        <w:rPr>
          <w:bCs/>
        </w:rPr>
        <w:t>.</w:t>
      </w:r>
      <w:bookmarkEnd w:id="4"/>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697463" w:rsidRDefault="00686610" w:rsidP="00686610">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Pr="00DE5E56">
        <w:rPr>
          <w:color w:val="0070C0"/>
        </w:rPr>
        <w:t>«</w:t>
      </w:r>
      <w:r w:rsidR="001552EF">
        <w:rPr>
          <w:color w:val="0070C0"/>
        </w:rPr>
        <w:t>30</w:t>
      </w:r>
      <w:bookmarkStart w:id="6" w:name="_GoBack"/>
      <w:bookmarkEnd w:id="6"/>
      <w:r w:rsidRPr="00DE5E56">
        <w:rPr>
          <w:color w:val="0070C0"/>
        </w:rPr>
        <w:t>»</w:t>
      </w:r>
      <w:r w:rsidR="00095F5C">
        <w:rPr>
          <w:color w:val="0070C0"/>
        </w:rPr>
        <w:t xml:space="preserve"> </w:t>
      </w:r>
      <w:r w:rsidR="007B38D1">
        <w:rPr>
          <w:color w:val="0070C0"/>
        </w:rPr>
        <w:t>октября</w:t>
      </w:r>
      <w:r w:rsidRPr="00DE5E56">
        <w:rPr>
          <w:color w:val="0070C0"/>
        </w:rPr>
        <w:t xml:space="preserve">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5A642C" w:rsidRDefault="00297312" w:rsidP="00C2118D">
      <w:pPr>
        <w:pStyle w:val="ae"/>
        <w:numPr>
          <w:ilvl w:val="1"/>
          <w:numId w:val="6"/>
        </w:numPr>
        <w:shd w:val="clear" w:color="auto" w:fill="FFFFFF"/>
        <w:tabs>
          <w:tab w:val="left" w:pos="1134"/>
        </w:tabs>
        <w:ind w:left="0" w:firstLine="709"/>
        <w:jc w:val="both"/>
        <w:rPr>
          <w:bCs/>
          <w:sz w:val="25"/>
          <w:szCs w:val="25"/>
        </w:rPr>
      </w:pPr>
      <w:r w:rsidRPr="005A642C">
        <w:rPr>
          <w:bCs/>
          <w:sz w:val="25"/>
          <w:szCs w:val="25"/>
        </w:rPr>
        <w:t>Работ</w:t>
      </w:r>
      <w:r w:rsidR="0080064C" w:rsidRPr="005A642C">
        <w:rPr>
          <w:bCs/>
          <w:sz w:val="25"/>
          <w:szCs w:val="25"/>
        </w:rPr>
        <w:t>ы</w:t>
      </w:r>
      <w:r w:rsidRPr="005A642C">
        <w:rPr>
          <w:bCs/>
          <w:sz w:val="25"/>
          <w:szCs w:val="25"/>
        </w:rPr>
        <w:t>, указанны</w:t>
      </w:r>
      <w:r w:rsidR="0080064C" w:rsidRPr="005A642C">
        <w:rPr>
          <w:bCs/>
          <w:sz w:val="25"/>
          <w:szCs w:val="25"/>
        </w:rPr>
        <w:t>е</w:t>
      </w:r>
      <w:r w:rsidRPr="005A642C">
        <w:rPr>
          <w:bCs/>
          <w:sz w:val="25"/>
          <w:szCs w:val="25"/>
        </w:rPr>
        <w:t xml:space="preserve"> в </w:t>
      </w:r>
      <w:r w:rsidR="00300ECD" w:rsidRPr="005A642C">
        <w:rPr>
          <w:sz w:val="25"/>
          <w:szCs w:val="25"/>
        </w:rPr>
        <w:t>пункте</w:t>
      </w:r>
      <w:r w:rsidR="00261AE6" w:rsidRPr="005A642C">
        <w:rPr>
          <w:sz w:val="25"/>
          <w:szCs w:val="25"/>
        </w:rPr>
        <w:t xml:space="preserve"> 1.1</w:t>
      </w:r>
      <w:r w:rsidRPr="005A642C">
        <w:rPr>
          <w:bCs/>
          <w:sz w:val="25"/>
          <w:szCs w:val="25"/>
        </w:rPr>
        <w:t xml:space="preserve"> Договора, подлежат выполнению в отношении </w:t>
      </w:r>
      <w:r w:rsidR="00BD311A" w:rsidRPr="005A642C">
        <w:rPr>
          <w:bCs/>
          <w:sz w:val="25"/>
          <w:szCs w:val="25"/>
        </w:rPr>
        <w:t>О</w:t>
      </w:r>
      <w:r w:rsidR="00817462" w:rsidRPr="005A642C">
        <w:rPr>
          <w:bCs/>
          <w:sz w:val="25"/>
          <w:szCs w:val="25"/>
        </w:rPr>
        <w:t>бъектов</w:t>
      </w:r>
      <w:r w:rsidR="00F25C12" w:rsidRPr="005A642C">
        <w:rPr>
          <w:bCs/>
          <w:sz w:val="25"/>
          <w:szCs w:val="25"/>
        </w:rPr>
        <w:t>, указанн</w:t>
      </w:r>
      <w:r w:rsidR="00BD311A" w:rsidRPr="005A642C">
        <w:rPr>
          <w:bCs/>
          <w:sz w:val="25"/>
          <w:szCs w:val="25"/>
        </w:rPr>
        <w:t>ых</w:t>
      </w:r>
      <w:r w:rsidR="00F25C12" w:rsidRPr="005A642C">
        <w:rPr>
          <w:bCs/>
          <w:sz w:val="25"/>
          <w:szCs w:val="25"/>
        </w:rPr>
        <w:t xml:space="preserve"> в Приложении № </w:t>
      </w:r>
      <w:r w:rsidR="004226AB" w:rsidRPr="005A642C">
        <w:rPr>
          <w:bCs/>
          <w:sz w:val="25"/>
          <w:szCs w:val="25"/>
        </w:rPr>
        <w:t>6</w:t>
      </w:r>
      <w:r w:rsidR="00F25C12" w:rsidRPr="005A642C">
        <w:rPr>
          <w:bCs/>
          <w:sz w:val="25"/>
          <w:szCs w:val="25"/>
        </w:rPr>
        <w:t xml:space="preserve"> к Договору</w:t>
      </w:r>
      <w:r w:rsidR="00C50345" w:rsidRPr="005A642C">
        <w:rPr>
          <w:bCs/>
          <w:sz w:val="25"/>
          <w:szCs w:val="25"/>
        </w:rPr>
        <w:t>.</w:t>
      </w:r>
    </w:p>
    <w:p w:rsidR="005A642C" w:rsidRPr="00290E69" w:rsidRDefault="009F0226" w:rsidP="00290E69">
      <w:pPr>
        <w:pStyle w:val="ae"/>
        <w:widowControl w:val="0"/>
        <w:numPr>
          <w:ilvl w:val="1"/>
          <w:numId w:val="6"/>
        </w:numPr>
        <w:shd w:val="clear" w:color="auto" w:fill="FFFFFF"/>
        <w:tabs>
          <w:tab w:val="left" w:pos="1134"/>
        </w:tabs>
        <w:autoSpaceDE w:val="0"/>
        <w:autoSpaceDN w:val="0"/>
        <w:ind w:left="0" w:firstLine="709"/>
        <w:rPr>
          <w:bCs/>
          <w:color w:val="002060"/>
          <w:sz w:val="25"/>
          <w:szCs w:val="25"/>
        </w:rPr>
      </w:pPr>
      <w:r w:rsidRPr="00290E69">
        <w:rPr>
          <w:sz w:val="25"/>
          <w:szCs w:val="25"/>
        </w:rPr>
        <w:t>Настоящий Договор заключается в целях исполнения обязательств Заказчика по технологическому присоединению заявител</w:t>
      </w:r>
      <w:r w:rsidR="008B4B9D" w:rsidRPr="00290E69">
        <w:rPr>
          <w:sz w:val="25"/>
          <w:szCs w:val="25"/>
        </w:rPr>
        <w:t>я</w:t>
      </w:r>
      <w:r w:rsidRPr="00290E69">
        <w:rPr>
          <w:sz w:val="25"/>
          <w:szCs w:val="25"/>
        </w:rPr>
        <w:t xml:space="preserve"> к электрическим сетям Заказчика по договор</w:t>
      </w:r>
      <w:r w:rsidR="005A642C" w:rsidRPr="00290E69">
        <w:rPr>
          <w:sz w:val="25"/>
          <w:szCs w:val="25"/>
        </w:rPr>
        <w:t>ам</w:t>
      </w:r>
      <w:r w:rsidR="008B4B9D" w:rsidRPr="00290E69">
        <w:rPr>
          <w:sz w:val="25"/>
          <w:szCs w:val="25"/>
        </w:rPr>
        <w:t xml:space="preserve"> на ТП</w:t>
      </w:r>
      <w:r w:rsidR="005A642C" w:rsidRPr="00290E69">
        <w:rPr>
          <w:sz w:val="25"/>
          <w:szCs w:val="25"/>
        </w:rPr>
        <w:t>:</w:t>
      </w:r>
    </w:p>
    <w:p w:rsidR="007A050F" w:rsidRPr="007A050F" w:rsidRDefault="007B38D1" w:rsidP="00806EB1">
      <w:pPr>
        <w:widowControl w:val="0"/>
        <w:tabs>
          <w:tab w:val="left" w:pos="993"/>
        </w:tabs>
        <w:suppressAutoHyphens/>
        <w:spacing w:line="240" w:lineRule="auto"/>
        <w:ind w:firstLine="709"/>
        <w:contextualSpacing/>
        <w:rPr>
          <w:snapToGrid/>
          <w:sz w:val="25"/>
          <w:szCs w:val="25"/>
          <w:lang w:eastAsia="en-US"/>
        </w:rPr>
      </w:pPr>
      <w:r w:rsidRPr="007B38D1">
        <w:rPr>
          <w:snapToGrid/>
          <w:sz w:val="25"/>
          <w:szCs w:val="25"/>
          <w:lang w:eastAsia="en-US"/>
        </w:rPr>
        <w:t>№18-165 от 11.10.2018 г. (Краевое государственное унитарное предприятие «Примтеплоэнерго», Приморский край, г. Партизанск, ул. Ленинская, 54), 1772 кВт, 6 кВ.</w:t>
      </w:r>
      <w:r>
        <w:rPr>
          <w:snapToGrid/>
          <w:sz w:val="25"/>
          <w:szCs w:val="25"/>
          <w:lang w:eastAsia="en-US"/>
        </w:rPr>
        <w:t xml:space="preserve"> </w:t>
      </w:r>
    </w:p>
    <w:p w:rsidR="005A642C" w:rsidRPr="00902287" w:rsidRDefault="005A642C" w:rsidP="005A642C">
      <w:pPr>
        <w:widowControl w:val="0"/>
        <w:shd w:val="clear" w:color="auto" w:fill="FFFFFF"/>
        <w:tabs>
          <w:tab w:val="left" w:pos="1134"/>
        </w:tabs>
        <w:autoSpaceDE w:val="0"/>
        <w:autoSpaceDN w:val="0"/>
        <w:spacing w:after="200" w:line="240" w:lineRule="auto"/>
        <w:contextualSpacing/>
        <w:jc w:val="left"/>
        <w:rPr>
          <w:bCs/>
          <w:snapToGrid/>
          <w:color w:val="002060"/>
          <w:sz w:val="25"/>
          <w:szCs w:val="25"/>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lastRenderedPageBreak/>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lastRenderedPageBreak/>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lastRenderedPageBreak/>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lastRenderedPageBreak/>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lastRenderedPageBreak/>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36AF6" w:rsidRPr="00C2118D" w:rsidRDefault="00036AF6" w:rsidP="00036AF6">
      <w:pPr>
        <w:pStyle w:val="ae"/>
        <w:numPr>
          <w:ilvl w:val="0"/>
          <w:numId w:val="6"/>
        </w:numPr>
        <w:shd w:val="clear" w:color="auto" w:fill="FFFFFF"/>
        <w:tabs>
          <w:tab w:val="left" w:pos="284"/>
        </w:tabs>
        <w:ind w:left="0" w:firstLine="0"/>
        <w:jc w:val="center"/>
      </w:pPr>
      <w:r w:rsidRPr="00D949C5">
        <w:rPr>
          <w:b/>
          <w:bCs/>
        </w:rPr>
        <w:t>Цена Договора и порядок расчетов</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13" w:name="_Ref361335465"/>
      <w:r w:rsidRPr="00C2118D">
        <w:rPr>
          <w:bCs/>
        </w:rPr>
        <w:lastRenderedPageBreak/>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36AF6" w:rsidRPr="00C2118D" w:rsidRDefault="00036AF6" w:rsidP="00036AF6">
      <w:pPr>
        <w:pStyle w:val="ae"/>
        <w:numPr>
          <w:ilvl w:val="2"/>
          <w:numId w:val="6"/>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36AF6" w:rsidRPr="00C2118D" w:rsidRDefault="00036AF6" w:rsidP="00036AF6">
      <w:pPr>
        <w:pStyle w:val="ae"/>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36AF6" w:rsidRPr="00C2118D" w:rsidRDefault="00036AF6" w:rsidP="00036AF6">
      <w:pPr>
        <w:pStyle w:val="ae"/>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36AF6" w:rsidRPr="00C2118D" w:rsidRDefault="00036AF6" w:rsidP="00036AF6">
      <w:pPr>
        <w:pStyle w:val="ae"/>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36AF6" w:rsidRPr="00C2118D" w:rsidRDefault="00036AF6" w:rsidP="00036AF6">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36AF6" w:rsidRPr="00C605C5" w:rsidRDefault="00036AF6" w:rsidP="00036AF6">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036AF6" w:rsidRPr="00C605C5" w:rsidRDefault="00036AF6" w:rsidP="00036AF6">
      <w:pPr>
        <w:pStyle w:val="ae"/>
        <w:numPr>
          <w:ilvl w:val="0"/>
          <w:numId w:val="113"/>
        </w:numPr>
        <w:shd w:val="clear" w:color="auto" w:fill="FFFFFF"/>
        <w:tabs>
          <w:tab w:val="left" w:pos="993"/>
          <w:tab w:val="left" w:pos="1418"/>
        </w:tabs>
        <w:jc w:val="both"/>
        <w:rPr>
          <w:vanish/>
        </w:rPr>
      </w:pPr>
    </w:p>
    <w:p w:rsidR="00036AF6" w:rsidRPr="00C605C5" w:rsidRDefault="00036AF6" w:rsidP="00036AF6">
      <w:pPr>
        <w:pStyle w:val="ae"/>
        <w:numPr>
          <w:ilvl w:val="1"/>
          <w:numId w:val="113"/>
        </w:numPr>
        <w:shd w:val="clear" w:color="auto" w:fill="FFFFFF"/>
        <w:tabs>
          <w:tab w:val="left" w:pos="993"/>
          <w:tab w:val="left" w:pos="1418"/>
        </w:tabs>
        <w:jc w:val="both"/>
        <w:rPr>
          <w:vanish/>
        </w:rPr>
      </w:pPr>
    </w:p>
    <w:p w:rsidR="00036AF6" w:rsidRPr="00C605C5" w:rsidRDefault="00036AF6" w:rsidP="00036AF6">
      <w:pPr>
        <w:pStyle w:val="ae"/>
        <w:numPr>
          <w:ilvl w:val="1"/>
          <w:numId w:val="113"/>
        </w:numPr>
        <w:shd w:val="clear" w:color="auto" w:fill="FFFFFF"/>
        <w:tabs>
          <w:tab w:val="left" w:pos="993"/>
          <w:tab w:val="left" w:pos="1418"/>
        </w:tabs>
        <w:jc w:val="both"/>
        <w:rPr>
          <w:vanish/>
        </w:rPr>
      </w:pPr>
    </w:p>
    <w:p w:rsidR="00036AF6" w:rsidRPr="00C605C5" w:rsidRDefault="00036AF6" w:rsidP="00036AF6">
      <w:pPr>
        <w:pStyle w:val="ae"/>
        <w:numPr>
          <w:ilvl w:val="1"/>
          <w:numId w:val="113"/>
        </w:numPr>
        <w:shd w:val="clear" w:color="auto" w:fill="FFFFFF"/>
        <w:tabs>
          <w:tab w:val="left" w:pos="993"/>
          <w:tab w:val="left" w:pos="1418"/>
        </w:tabs>
        <w:jc w:val="both"/>
        <w:rPr>
          <w:vanish/>
        </w:rPr>
      </w:pPr>
    </w:p>
    <w:p w:rsidR="00036AF6" w:rsidRPr="00C605C5" w:rsidRDefault="00036AF6" w:rsidP="00036AF6">
      <w:pPr>
        <w:pStyle w:val="ae"/>
        <w:numPr>
          <w:ilvl w:val="1"/>
          <w:numId w:val="113"/>
        </w:numPr>
        <w:shd w:val="clear" w:color="auto" w:fill="FFFFFF"/>
        <w:tabs>
          <w:tab w:val="left" w:pos="993"/>
          <w:tab w:val="left" w:pos="1418"/>
        </w:tabs>
        <w:jc w:val="both"/>
        <w:rPr>
          <w:vanish/>
        </w:rPr>
      </w:pPr>
    </w:p>
    <w:p w:rsidR="00036AF6" w:rsidRPr="00B3741C" w:rsidRDefault="00036AF6" w:rsidP="00036AF6">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rsidR="00BF0125">
        <w:t>ов</w:t>
      </w:r>
      <w:r w:rsidRPr="00B3741C">
        <w:t xml:space="preserve"> 3.</w:t>
      </w:r>
      <w:r w:rsidR="002E68A9">
        <w:t>4.2</w:t>
      </w:r>
      <w:r w:rsidR="00BF0125">
        <w:t>, 3.4.3</w:t>
      </w:r>
      <w:r w:rsidRPr="00B3741C">
        <w:t xml:space="preserve"> Договора.</w:t>
      </w:r>
      <w:bookmarkEnd w:id="16"/>
    </w:p>
    <w:p w:rsidR="00036AF6" w:rsidRPr="00B3741C" w:rsidRDefault="00036AF6" w:rsidP="00036AF6">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t xml:space="preserve">ядчиком, и с учетом </w:t>
      </w:r>
      <w:r w:rsidRPr="00B3741C">
        <w:t>пункт</w:t>
      </w:r>
      <w:r w:rsidR="00BF0125">
        <w:t>ов</w:t>
      </w:r>
      <w:r w:rsidRPr="00B3741C">
        <w:t xml:space="preserve"> </w:t>
      </w:r>
      <w:r w:rsidR="002E68A9">
        <w:t>3.4.2</w:t>
      </w:r>
      <w:r w:rsidR="00BF0125">
        <w:t>, 3.4.3</w:t>
      </w:r>
      <w:r w:rsidRPr="004B5AD9">
        <w:t xml:space="preserve"> Договора.</w:t>
      </w:r>
    </w:p>
    <w:p w:rsidR="00036AF6" w:rsidRPr="00B3741C" w:rsidRDefault="00036AF6" w:rsidP="00036AF6">
      <w:pPr>
        <w:pStyle w:val="ae"/>
        <w:numPr>
          <w:ilvl w:val="2"/>
          <w:numId w:val="113"/>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036AF6" w:rsidRPr="00B3741C" w:rsidRDefault="00036AF6" w:rsidP="00036AF6">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t>енные пунктом 3.</w:t>
      </w:r>
      <w:r w:rsidRPr="003322C0">
        <w:t>4.1</w:t>
      </w:r>
      <w:r w:rsidRPr="00B3741C">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036AF6" w:rsidRPr="00B3741C" w:rsidRDefault="00036AF6" w:rsidP="00036AF6">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Pr>
          <w:rStyle w:val="a8"/>
          <w:highlight w:val="lightGray"/>
        </w:rPr>
        <w:footnoteReference w:id="2"/>
      </w:r>
      <w:r w:rsidRPr="00B3741C">
        <w:t xml:space="preserve"> с даты получения Заказчиком счета, выставленного Подрядчиком, но не ранее 70 </w:t>
      </w:r>
      <w:r w:rsidRPr="00B3741C">
        <w:lastRenderedPageBreak/>
        <w:t xml:space="preserve">(семидесяти)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036AF6" w:rsidRPr="00B3741C" w:rsidRDefault="00036AF6" w:rsidP="00036AF6">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36AF6" w:rsidRPr="00B3741C" w:rsidRDefault="00036AF6" w:rsidP="00036AF6">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36AF6" w:rsidRPr="00B3741C" w:rsidRDefault="00036AF6" w:rsidP="00036AF6">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36AF6" w:rsidRPr="00C2118D" w:rsidRDefault="00036AF6" w:rsidP="00036AF6">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Pr="00C2118D">
        <w:rPr>
          <w:bCs/>
        </w:rPr>
        <w:t xml:space="preserve"> </w:t>
      </w:r>
    </w:p>
    <w:bookmarkEnd w:id="17"/>
    <w:p w:rsidR="00036AF6" w:rsidRPr="00C2118D" w:rsidRDefault="00036AF6" w:rsidP="00036AF6">
      <w:pPr>
        <w:pStyle w:val="ae"/>
        <w:shd w:val="clear" w:color="auto" w:fill="FFFFFF"/>
        <w:tabs>
          <w:tab w:val="left" w:pos="1134"/>
        </w:tabs>
        <w:ind w:left="0" w:firstLine="567"/>
        <w:jc w:val="both"/>
        <w:rPr>
          <w:bCs/>
        </w:rPr>
      </w:pPr>
    </w:p>
    <w:p w:rsidR="00036AF6" w:rsidRPr="00C2118D" w:rsidRDefault="00036AF6" w:rsidP="00036AF6">
      <w:pPr>
        <w:pStyle w:val="ae"/>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036AF6" w:rsidRPr="00AF54CA" w:rsidRDefault="00036AF6" w:rsidP="00036AF6">
      <w:pPr>
        <w:pStyle w:val="ae"/>
        <w:numPr>
          <w:ilvl w:val="1"/>
          <w:numId w:val="6"/>
        </w:numPr>
        <w:shd w:val="clear" w:color="auto" w:fill="FFFFFF"/>
        <w:tabs>
          <w:tab w:val="left" w:pos="1134"/>
        </w:tabs>
        <w:ind w:left="0" w:firstLine="709"/>
        <w:jc w:val="both"/>
        <w:rPr>
          <w:bCs/>
        </w:rPr>
      </w:pPr>
      <w:bookmarkStart w:id="19" w:name="_Ref373242517"/>
      <w:bookmarkStart w:id="20" w:name="_Ref361335138"/>
      <w:bookmarkStart w:id="21" w:name="_Ref361336754"/>
      <w:r w:rsidRPr="00AF54CA">
        <w:rPr>
          <w:bCs/>
        </w:rPr>
        <w:t xml:space="preserve">По завершении выполнения Работ по каждому этапу Проектных работ Подрядчик </w:t>
      </w:r>
      <w:r w:rsidRPr="00AF54CA">
        <w:rPr>
          <w:bCs/>
        </w:rPr>
        <w:br/>
        <w:t xml:space="preserve">в течение 5 (пяти) рабочих дней представляет Заказчику подписанный со своей стороны </w:t>
      </w:r>
      <w:r w:rsidRPr="00AF54CA">
        <w:rPr>
          <w:bCs/>
        </w:rPr>
        <w:br/>
        <w:t xml:space="preserve">в 2 (двух) экземплярах Акт сдачи-приемки Проектных работ по форме Приложения № 7 </w:t>
      </w:r>
      <w:r w:rsidRPr="00AF54CA">
        <w:rPr>
          <w:bCs/>
        </w:rPr>
        <w:br/>
        <w:t>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36AF6" w:rsidRPr="00E7094D" w:rsidRDefault="00036AF6" w:rsidP="00036AF6">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Pr>
          <w:bCs/>
        </w:rPr>
        <w:t>выполнения строительно-монтажных р</w:t>
      </w:r>
      <w:r w:rsidRPr="00C2118D">
        <w:rPr>
          <w:bCs/>
        </w:rPr>
        <w:t>абот</w:t>
      </w:r>
      <w:r>
        <w:rPr>
          <w:bCs/>
        </w:rPr>
        <w:t xml:space="preserve">, </w:t>
      </w:r>
      <w:r w:rsidRPr="00C2118D">
        <w:rPr>
          <w:bCs/>
        </w:rPr>
        <w:t xml:space="preserve">Подрядчик в течение </w:t>
      </w:r>
      <w:r w:rsidRPr="003322C0">
        <w:rPr>
          <w:bCs/>
        </w:rPr>
        <w:t>5</w:t>
      </w:r>
      <w:r w:rsidRPr="00BC4883">
        <w:rPr>
          <w:highlight w:val="lightGray"/>
        </w:rPr>
        <w:t xml:space="preserve"> </w:t>
      </w:r>
      <w:r w:rsidRPr="00E7094D">
        <w:t>(пяти)</w:t>
      </w:r>
      <w:r w:rsidRPr="00C2118D">
        <w:rPr>
          <w:bCs/>
        </w:rPr>
        <w:t xml:space="preserve"> </w:t>
      </w:r>
      <w:r w:rsidRPr="00E7094D">
        <w:rPr>
          <w:bCs/>
        </w:rPr>
        <w:t xml:space="preserve">рабочих дней представляет Заказчику подписанный со своей стороны в 2 (двух) экземплярах </w:t>
      </w:r>
      <w:r w:rsidRPr="00E7094D">
        <w:rPr>
          <w:bCs/>
          <w:snapToGrid w:val="0"/>
        </w:rPr>
        <w:t>Акт освидетельствования выполненных работ по форме Приложения № 8 к Договору,</w:t>
      </w:r>
      <w:r w:rsidRPr="00E7094D">
        <w:rPr>
          <w:snapToGrid w:val="0"/>
        </w:rPr>
        <w:t xml:space="preserve"> </w:t>
      </w:r>
      <w:r w:rsidRPr="00E7094D">
        <w:rPr>
          <w:bCs/>
        </w:rPr>
        <w:t xml:space="preserve">с приложением Приемо-сдаточной и Исполнительной документации </w:t>
      </w:r>
      <w:r w:rsidRPr="00E7094D">
        <w:t>в 3 (трех) экземплярах</w:t>
      </w:r>
      <w:bookmarkStart w:id="22" w:name="_Ref361336865"/>
      <w:bookmarkEnd w:id="19"/>
      <w:bookmarkEnd w:id="20"/>
      <w:bookmarkEnd w:id="21"/>
      <w:r w:rsidRPr="00E7094D">
        <w:rPr>
          <w:bCs/>
        </w:rPr>
        <w:t>:</w:t>
      </w:r>
    </w:p>
    <w:p w:rsidR="00036AF6" w:rsidRPr="00E7094D" w:rsidRDefault="00036AF6" w:rsidP="00036AF6">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036AF6" w:rsidRPr="00E7094D" w:rsidRDefault="00036AF6" w:rsidP="00036AF6">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в 2 (двух) экземплярах </w:t>
      </w:r>
      <w:r w:rsidRPr="00E7094D">
        <w:rPr>
          <w:bCs/>
        </w:rPr>
        <w:br/>
        <w:t xml:space="preserve">с приложением Приемо-сдаточной и Исполнительной документации </w:t>
      </w:r>
      <w:r w:rsidRPr="00E7094D">
        <w:t xml:space="preserve">в 3 (трех) экземплярах; </w:t>
      </w:r>
    </w:p>
    <w:p w:rsidR="00036AF6" w:rsidRPr="00E7094D" w:rsidRDefault="00036AF6" w:rsidP="00036AF6">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036AF6" w:rsidRPr="00E7094D" w:rsidRDefault="00036AF6" w:rsidP="00036AF6">
      <w:pPr>
        <w:pStyle w:val="ae"/>
        <w:numPr>
          <w:ilvl w:val="0"/>
          <w:numId w:val="100"/>
        </w:numPr>
        <w:shd w:val="clear" w:color="auto" w:fill="FFFFFF"/>
        <w:tabs>
          <w:tab w:val="left" w:pos="1418"/>
        </w:tabs>
        <w:ind w:left="0" w:firstLine="709"/>
        <w:jc w:val="both"/>
      </w:pPr>
      <w:r w:rsidRPr="00E7094D">
        <w:t>Акт КС-14 (при необходимости) в 2 (двух) экземплярах.</w:t>
      </w:r>
    </w:p>
    <w:bookmarkEnd w:id="22"/>
    <w:p w:rsidR="00036AF6" w:rsidRPr="00C2118D" w:rsidRDefault="00036AF6" w:rsidP="00036AF6">
      <w:pPr>
        <w:pStyle w:val="ae"/>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290E69">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sidR="00290E69">
        <w:rPr>
          <w:bCs/>
        </w:rPr>
        <w:t>4.2</w:t>
      </w:r>
      <w:r w:rsidRPr="00C2118D">
        <w:rPr>
          <w:bCs/>
        </w:rPr>
        <w:fldChar w:fldCharType="end"/>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36AF6" w:rsidRPr="00C2118D" w:rsidRDefault="00036AF6" w:rsidP="00036AF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lastRenderedPageBreak/>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36AF6" w:rsidRPr="003F0FE4" w:rsidRDefault="00036AF6" w:rsidP="00036AF6">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36AF6" w:rsidRPr="00C2118D" w:rsidRDefault="00036AF6" w:rsidP="00036AF6">
      <w:pPr>
        <w:pStyle w:val="ae"/>
        <w:shd w:val="clear" w:color="auto" w:fill="FFFFFF"/>
        <w:tabs>
          <w:tab w:val="left" w:pos="1134"/>
        </w:tabs>
        <w:ind w:left="567"/>
        <w:jc w:val="both"/>
        <w:rPr>
          <w:bCs/>
        </w:rPr>
      </w:pPr>
    </w:p>
    <w:p w:rsidR="00036AF6" w:rsidRPr="00C2118D" w:rsidRDefault="00036AF6" w:rsidP="00036AF6">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36AF6" w:rsidRPr="00E7094D" w:rsidRDefault="00036AF6" w:rsidP="00036AF6">
      <w:pPr>
        <w:pStyle w:val="ae"/>
        <w:numPr>
          <w:ilvl w:val="1"/>
          <w:numId w:val="6"/>
        </w:numPr>
        <w:shd w:val="clear" w:color="auto" w:fill="FFFFFF"/>
        <w:tabs>
          <w:tab w:val="left" w:pos="1134"/>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36AF6" w:rsidRDefault="00036AF6" w:rsidP="00036AF6">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36AF6" w:rsidRPr="003F0FE4" w:rsidRDefault="00036AF6" w:rsidP="00036AF6">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036AF6" w:rsidRPr="003F0FE4" w:rsidRDefault="00036AF6" w:rsidP="00036AF6">
      <w:pPr>
        <w:shd w:val="clear" w:color="auto" w:fill="FFFFFF"/>
        <w:tabs>
          <w:tab w:val="left" w:pos="1134"/>
        </w:tabs>
        <w:ind w:firstLine="0"/>
        <w:rPr>
          <w:bCs/>
        </w:rPr>
      </w:pPr>
    </w:p>
    <w:p w:rsidR="00036AF6" w:rsidRPr="00C2118D" w:rsidRDefault="00036AF6" w:rsidP="00036AF6">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036AF6" w:rsidRPr="0047622F" w:rsidRDefault="00036AF6" w:rsidP="00036AF6">
      <w:pPr>
        <w:pStyle w:val="ae"/>
        <w:numPr>
          <w:ilvl w:val="1"/>
          <w:numId w:val="6"/>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36AF6"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36AF6"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36AF6" w:rsidRPr="008D29D5" w:rsidRDefault="00036AF6" w:rsidP="00036AF6">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BF0125">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36AF6" w:rsidRPr="008D29D5" w:rsidRDefault="00036AF6" w:rsidP="00036AF6">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36AF6" w:rsidRPr="00C2118D" w:rsidRDefault="00036AF6" w:rsidP="00036AF6">
      <w:pPr>
        <w:pStyle w:val="ae"/>
        <w:shd w:val="clear" w:color="auto" w:fill="FFFFFF"/>
        <w:tabs>
          <w:tab w:val="left" w:pos="1418"/>
        </w:tabs>
        <w:ind w:left="0" w:firstLine="709"/>
        <w:jc w:val="both"/>
        <w:rPr>
          <w:bCs/>
        </w:rPr>
      </w:pP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36AF6" w:rsidRPr="0047622F" w:rsidRDefault="00036AF6" w:rsidP="00036AF6">
      <w:pPr>
        <w:pStyle w:val="ae"/>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36AF6" w:rsidRPr="0047622F" w:rsidRDefault="00036AF6" w:rsidP="00036AF6">
      <w:pPr>
        <w:pStyle w:val="ae"/>
        <w:numPr>
          <w:ilvl w:val="2"/>
          <w:numId w:val="6"/>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36AF6" w:rsidRPr="0047622F" w:rsidRDefault="00036AF6" w:rsidP="00036AF6">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36AF6" w:rsidRPr="00E0777C" w:rsidRDefault="00036AF6" w:rsidP="00036AF6">
      <w:pPr>
        <w:pStyle w:val="ae"/>
        <w:numPr>
          <w:ilvl w:val="1"/>
          <w:numId w:val="6"/>
        </w:numPr>
        <w:shd w:val="clear" w:color="auto" w:fill="FFFFFF"/>
        <w:tabs>
          <w:tab w:val="left" w:pos="1134"/>
        </w:tabs>
        <w:ind w:left="0" w:firstLine="709"/>
        <w:jc w:val="both"/>
        <w:rPr>
          <w:bCs/>
        </w:rPr>
      </w:pPr>
      <w:r w:rsidRPr="0047622F">
        <w:rPr>
          <w:bCs/>
        </w:rPr>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36AF6" w:rsidRPr="00C24AE3" w:rsidRDefault="00036AF6" w:rsidP="00036AF6">
      <w:pPr>
        <w:pStyle w:val="ae"/>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36AF6" w:rsidRPr="000A4FCE" w:rsidRDefault="00036AF6" w:rsidP="00036AF6">
      <w:pPr>
        <w:pStyle w:val="ae"/>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36AF6" w:rsidRPr="000A4FCE" w:rsidRDefault="00036AF6" w:rsidP="00036AF6">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36AF6" w:rsidRPr="000A4FCE" w:rsidRDefault="00036AF6" w:rsidP="00036AF6">
      <w:pPr>
        <w:pStyle w:val="ae"/>
        <w:numPr>
          <w:ilvl w:val="1"/>
          <w:numId w:val="94"/>
        </w:numPr>
        <w:shd w:val="clear" w:color="auto" w:fill="FFFFFF"/>
        <w:tabs>
          <w:tab w:val="left" w:pos="1134"/>
        </w:tabs>
        <w:ind w:left="0" w:firstLine="709"/>
        <w:jc w:val="both"/>
        <w:rPr>
          <w:bCs/>
        </w:rPr>
      </w:pPr>
      <w:r w:rsidRPr="000A4FCE">
        <w:rPr>
          <w:bCs/>
        </w:rPr>
        <w:lastRenderedPageBreak/>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36AF6" w:rsidRDefault="00036AF6" w:rsidP="00036AF6">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36AF6" w:rsidRPr="000B0B5E" w:rsidRDefault="00036AF6" w:rsidP="00036AF6">
      <w:pPr>
        <w:pStyle w:val="ae"/>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36AF6" w:rsidRPr="00971B2E" w:rsidRDefault="00036AF6" w:rsidP="00036AF6">
      <w:pPr>
        <w:shd w:val="clear" w:color="auto" w:fill="FFFFFF"/>
        <w:tabs>
          <w:tab w:val="left" w:pos="1134"/>
        </w:tabs>
        <w:ind w:left="709" w:firstLine="0"/>
        <w:rPr>
          <w:bCs/>
        </w:rPr>
      </w:pPr>
    </w:p>
    <w:p w:rsidR="00036AF6" w:rsidRPr="00C2118D" w:rsidRDefault="00036AF6" w:rsidP="00036AF6">
      <w:pPr>
        <w:pStyle w:val="ae"/>
        <w:numPr>
          <w:ilvl w:val="0"/>
          <w:numId w:val="6"/>
        </w:numPr>
        <w:shd w:val="clear" w:color="auto" w:fill="FFFFFF"/>
        <w:tabs>
          <w:tab w:val="left" w:pos="284"/>
        </w:tabs>
        <w:ind w:left="0" w:firstLine="0"/>
        <w:jc w:val="center"/>
        <w:rPr>
          <w:b/>
          <w:bCs/>
        </w:rPr>
      </w:pPr>
      <w:r w:rsidRPr="00C2118D">
        <w:rPr>
          <w:b/>
          <w:bCs/>
        </w:rPr>
        <w:t>Ответственность Сторон</w:t>
      </w:r>
    </w:p>
    <w:p w:rsidR="00036AF6" w:rsidRPr="0047622F" w:rsidRDefault="00036AF6" w:rsidP="00036AF6">
      <w:pPr>
        <w:pStyle w:val="ae"/>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w:t>
      </w:r>
      <w:r>
        <w:rPr>
          <w:bCs/>
        </w:rPr>
        <w:br/>
      </w:r>
      <w:r w:rsidRPr="00C2118D">
        <w:rPr>
          <w:bCs/>
        </w:rPr>
        <w:t xml:space="preserve">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в Договор</w:t>
      </w:r>
      <w:r>
        <w:rPr>
          <w:bCs/>
        </w:rPr>
        <w:t>ом</w:t>
      </w:r>
      <w:r w:rsidRPr="00C2118D">
        <w:rPr>
          <w:bCs/>
        </w:rPr>
        <w:t xml:space="preserve"> прямо </w:t>
      </w:r>
      <w:r>
        <w:rPr>
          <w:bCs/>
        </w:rPr>
        <w:br/>
      </w:r>
      <w:r w:rsidRPr="00C2118D">
        <w:rPr>
          <w:bCs/>
        </w:rPr>
        <w:t xml:space="preserve">не </w:t>
      </w:r>
      <w:r w:rsidRPr="0047622F">
        <w:rPr>
          <w:bCs/>
        </w:rPr>
        <w:t xml:space="preserve">предусмотрено иное. </w:t>
      </w:r>
    </w:p>
    <w:p w:rsidR="00036AF6" w:rsidRPr="0047622F" w:rsidRDefault="00036AF6" w:rsidP="00036AF6">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036AF6" w:rsidRPr="0047622F" w:rsidRDefault="00036AF6" w:rsidP="00036AF6">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036AF6" w:rsidRPr="0047622F" w:rsidRDefault="00036AF6" w:rsidP="00036AF6">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036AF6" w:rsidRPr="0047622F" w:rsidRDefault="00036AF6" w:rsidP="00036AF6">
      <w:pPr>
        <w:widowControl w:val="0"/>
        <w:tabs>
          <w:tab w:val="left" w:pos="6300"/>
        </w:tabs>
        <w:spacing w:line="240" w:lineRule="auto"/>
        <w:ind w:firstLine="709"/>
        <w:rPr>
          <w:kern w:val="36"/>
          <w:sz w:val="24"/>
        </w:rPr>
      </w:pPr>
      <w:r>
        <w:rPr>
          <w:kern w:val="36"/>
          <w:sz w:val="24"/>
        </w:rPr>
        <w:t>7</w:t>
      </w:r>
      <w:r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036AF6" w:rsidRPr="0047622F" w:rsidRDefault="00036AF6" w:rsidP="00036AF6">
      <w:pPr>
        <w:widowControl w:val="0"/>
        <w:tabs>
          <w:tab w:val="left" w:pos="6300"/>
        </w:tabs>
        <w:spacing w:line="240" w:lineRule="auto"/>
        <w:ind w:firstLine="709"/>
        <w:rPr>
          <w:kern w:val="36"/>
          <w:sz w:val="24"/>
        </w:rPr>
      </w:pPr>
      <w:r>
        <w:rPr>
          <w:kern w:val="36"/>
          <w:sz w:val="24"/>
        </w:rPr>
        <w:t>7</w:t>
      </w:r>
      <w:r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036AF6" w:rsidRPr="0047622F" w:rsidRDefault="00036AF6" w:rsidP="00036AF6">
      <w:pPr>
        <w:widowControl w:val="0"/>
        <w:tabs>
          <w:tab w:val="left" w:pos="6300"/>
        </w:tabs>
        <w:spacing w:line="240" w:lineRule="auto"/>
        <w:ind w:firstLine="709"/>
        <w:rPr>
          <w:kern w:val="36"/>
          <w:sz w:val="24"/>
        </w:rPr>
      </w:pPr>
      <w:r>
        <w:rPr>
          <w:kern w:val="36"/>
          <w:sz w:val="24"/>
        </w:rPr>
        <w:t>7</w:t>
      </w:r>
      <w:r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Pr>
          <w:kern w:val="36"/>
          <w:sz w:val="24"/>
        </w:rPr>
        <w:t xml:space="preserve"> </w:t>
      </w:r>
      <w:r w:rsidRPr="0047622F">
        <w:rPr>
          <w:kern w:val="36"/>
          <w:sz w:val="24"/>
        </w:rPr>
        <w:t>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036AF6" w:rsidRPr="0047622F" w:rsidRDefault="00036AF6" w:rsidP="00036AF6">
      <w:pPr>
        <w:widowControl w:val="0"/>
        <w:tabs>
          <w:tab w:val="left" w:pos="6300"/>
        </w:tabs>
        <w:spacing w:line="240" w:lineRule="auto"/>
        <w:ind w:firstLine="709"/>
        <w:rPr>
          <w:kern w:val="36"/>
          <w:sz w:val="24"/>
          <w:szCs w:val="24"/>
        </w:rPr>
      </w:pPr>
      <w:r>
        <w:rPr>
          <w:kern w:val="36"/>
          <w:sz w:val="24"/>
        </w:rPr>
        <w:t>7</w:t>
      </w:r>
      <w:r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Pr="0047622F">
        <w:rPr>
          <w:kern w:val="36"/>
          <w:sz w:val="24"/>
          <w:szCs w:val="24"/>
        </w:rPr>
        <w:t xml:space="preserve">соответствующего </w:t>
      </w:r>
      <w:r w:rsidRPr="0047622F">
        <w:rPr>
          <w:kern w:val="36"/>
          <w:sz w:val="24"/>
          <w:szCs w:val="24"/>
        </w:rPr>
        <w:lastRenderedPageBreak/>
        <w:t>объекта по Договору.</w:t>
      </w:r>
    </w:p>
    <w:p w:rsidR="00036AF6" w:rsidRPr="0047622F" w:rsidRDefault="00036AF6" w:rsidP="00036AF6">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 xml:space="preserve">пожарной </w:t>
      </w:r>
      <w:r>
        <w:rPr>
          <w:bCs/>
        </w:rPr>
        <w:br/>
      </w:r>
      <w:r w:rsidRPr="00C2118D">
        <w:rPr>
          <w:bCs/>
        </w:rPr>
        <w:t>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 xml:space="preserve">Приложением № </w:t>
      </w:r>
      <w:r>
        <w:rPr>
          <w:bCs/>
        </w:rPr>
        <w:t>5 к Договору</w:t>
      </w:r>
      <w:r w:rsidRPr="00C2118D">
        <w:rPr>
          <w:bCs/>
        </w:rPr>
        <w:t xml:space="preserve">. </w:t>
      </w:r>
    </w:p>
    <w:p w:rsidR="00036AF6"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w:t>
      </w:r>
      <w:r>
        <w:rPr>
          <w:bCs/>
        </w:rPr>
        <w:br/>
      </w:r>
      <w:r w:rsidRPr="00C2118D">
        <w:rPr>
          <w:bCs/>
        </w:rP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Pr>
          <w:bCs/>
        </w:rPr>
        <w:br/>
      </w:r>
      <w:r w:rsidRPr="00C2118D">
        <w:rPr>
          <w:bCs/>
        </w:rP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Pr>
          <w:bCs/>
        </w:rPr>
        <w:br/>
      </w:r>
      <w:r w:rsidRPr="00C2118D">
        <w:rPr>
          <w:bCs/>
        </w:rP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sidR="00902287">
        <w:rPr>
          <w:bCs/>
        </w:rPr>
        <w:t>7</w:t>
      </w:r>
      <w:r w:rsidRPr="00C2118D">
        <w:rPr>
          <w:bCs/>
        </w:rPr>
        <w:t xml:space="preserve"> Договора, </w:t>
      </w:r>
      <w:r w:rsidRPr="0047622F">
        <w:rPr>
          <w:bCs/>
        </w:rPr>
        <w:t>Заказчик имеет право требования от Подрядчика уплаты штрафа в размере</w:t>
      </w:r>
      <w:r w:rsidRPr="00C2118D">
        <w:rPr>
          <w:bCs/>
        </w:rPr>
        <w:t xml:space="preserve"> 50 000 (пятидесяти тысяч) рублей за каждый случай нарушения.</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036AF6" w:rsidRPr="00985237" w:rsidRDefault="00036AF6" w:rsidP="00036AF6">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нарушения Подрядчиком сроков </w:t>
      </w:r>
      <w:r w:rsidRPr="0098523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985237">
        <w:t xml:space="preserve">Заказчик вправе требовать уплаты Подрядчиком </w:t>
      </w:r>
      <w:r w:rsidRPr="00985237">
        <w:rPr>
          <w:color w:val="000000"/>
        </w:rPr>
        <w:t>неустойки</w:t>
      </w:r>
      <w:r w:rsidRPr="00985237">
        <w:t xml:space="preserve"> в размере </w:t>
      </w:r>
      <w:r w:rsidRPr="00985237">
        <w:rPr>
          <w:color w:val="000000"/>
        </w:rPr>
        <w:t>0,05 (ноль целых пять сотых) % от Цены Договора</w:t>
      </w:r>
      <w:r w:rsidRPr="00985237">
        <w:t xml:space="preserve"> за каждый </w:t>
      </w:r>
      <w:r w:rsidRPr="00985237">
        <w:rPr>
          <w:color w:val="000000"/>
        </w:rPr>
        <w:t xml:space="preserve">день просрочки. </w:t>
      </w:r>
    </w:p>
    <w:p w:rsidR="00036AF6" w:rsidRPr="00985237" w:rsidRDefault="00036AF6" w:rsidP="00036AF6">
      <w:pPr>
        <w:pStyle w:val="ae"/>
        <w:numPr>
          <w:ilvl w:val="1"/>
          <w:numId w:val="6"/>
        </w:numPr>
        <w:shd w:val="clear" w:color="auto" w:fill="FFFFFF"/>
        <w:tabs>
          <w:tab w:val="left" w:pos="1134"/>
        </w:tabs>
        <w:ind w:left="0" w:firstLine="709"/>
        <w:jc w:val="both"/>
        <w:rPr>
          <w:bCs/>
        </w:rPr>
      </w:pPr>
      <w:r w:rsidRPr="00985237">
        <w:rPr>
          <w:bCs/>
        </w:rPr>
        <w:t>Срок оплаты</w:t>
      </w:r>
      <w:r w:rsidR="002E68A9">
        <w:rPr>
          <w:bCs/>
        </w:rPr>
        <w:t xml:space="preserve"> неустойки, установленной п. 7.7</w:t>
      </w:r>
      <w:r w:rsidRPr="00985237">
        <w:rPr>
          <w:bCs/>
        </w:rPr>
        <w:t xml:space="preserve"> договора, письменно согласовывается Сторонами при приемке Результата Работ по Договору.</w:t>
      </w:r>
    </w:p>
    <w:p w:rsidR="00036AF6" w:rsidRPr="00985237" w:rsidRDefault="00036AF6" w:rsidP="00036AF6">
      <w:pPr>
        <w:pStyle w:val="ae"/>
        <w:numPr>
          <w:ilvl w:val="1"/>
          <w:numId w:val="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Pr="00985237">
        <w:rPr>
          <w:bCs/>
        </w:rPr>
        <w:br/>
        <w:t xml:space="preserve">в размере фактически понесенных и документально подтвержденных расходов, возникших </w:t>
      </w:r>
      <w:r w:rsidRPr="00985237">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036AF6" w:rsidRPr="00BD336D" w:rsidRDefault="00036AF6" w:rsidP="00036AF6">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36AF6" w:rsidRPr="0047622F" w:rsidRDefault="00036AF6" w:rsidP="00036AF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36AF6" w:rsidRPr="0047622F" w:rsidRDefault="00036AF6" w:rsidP="00036AF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36AF6" w:rsidRPr="0016064F" w:rsidRDefault="00036AF6" w:rsidP="00036AF6">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036AF6" w:rsidRPr="00190115" w:rsidRDefault="00036AF6" w:rsidP="00036AF6">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036AF6" w:rsidRPr="00190115" w:rsidRDefault="00036AF6" w:rsidP="00036AF6">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036AF6" w:rsidRPr="00190115" w:rsidRDefault="00036AF6" w:rsidP="00036AF6">
      <w:pPr>
        <w:pStyle w:val="ae"/>
        <w:numPr>
          <w:ilvl w:val="1"/>
          <w:numId w:val="6"/>
        </w:numPr>
        <w:shd w:val="clear" w:color="auto" w:fill="FFFFFF"/>
        <w:tabs>
          <w:tab w:val="left" w:pos="1134"/>
        </w:tabs>
        <w:ind w:left="0" w:firstLine="709"/>
        <w:jc w:val="both"/>
        <w:rPr>
          <w:bCs/>
        </w:rPr>
      </w:pPr>
      <w:r w:rsidRPr="00190115">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036AF6" w:rsidRDefault="00036AF6" w:rsidP="00036AF6">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036AF6" w:rsidRPr="0047622F" w:rsidRDefault="00036AF6" w:rsidP="00036AF6">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036AF6" w:rsidRPr="00C2118D" w:rsidRDefault="00036AF6" w:rsidP="00036AF6">
      <w:pPr>
        <w:spacing w:line="240" w:lineRule="auto"/>
        <w:rPr>
          <w:b/>
          <w:color w:val="000000"/>
          <w:sz w:val="24"/>
          <w:szCs w:val="24"/>
        </w:rPr>
      </w:pPr>
    </w:p>
    <w:p w:rsidR="00036AF6" w:rsidRPr="00C2118D" w:rsidRDefault="00036AF6" w:rsidP="00036AF6">
      <w:pPr>
        <w:pStyle w:val="ae"/>
        <w:numPr>
          <w:ilvl w:val="0"/>
          <w:numId w:val="6"/>
        </w:numPr>
        <w:shd w:val="clear" w:color="auto" w:fill="FFFFFF"/>
        <w:tabs>
          <w:tab w:val="left" w:pos="284"/>
        </w:tabs>
        <w:ind w:left="0" w:firstLine="0"/>
        <w:jc w:val="center"/>
        <w:rPr>
          <w:b/>
          <w:bCs/>
        </w:rPr>
      </w:pPr>
      <w:r w:rsidRPr="00C2118D">
        <w:rPr>
          <w:b/>
          <w:bCs/>
        </w:rPr>
        <w:t>Гарантии качества Результата Работ</w:t>
      </w:r>
    </w:p>
    <w:p w:rsidR="00036AF6" w:rsidRPr="00C2118D" w:rsidRDefault="00036AF6" w:rsidP="00036AF6">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36AF6" w:rsidRPr="00C2118D" w:rsidRDefault="00036AF6" w:rsidP="00036AF6">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w:t>
      </w:r>
      <w:r w:rsidRPr="00C2118D">
        <w:rPr>
          <w:bCs/>
        </w:rPr>
        <w:lastRenderedPageBreak/>
        <w:t xml:space="preserve">(включая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36AF6" w:rsidRPr="00C2118D" w:rsidRDefault="00036AF6" w:rsidP="00036AF6">
      <w:pPr>
        <w:pStyle w:val="ae"/>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36AF6" w:rsidRPr="00C2118D" w:rsidRDefault="00036AF6" w:rsidP="00036AF6">
      <w:pPr>
        <w:shd w:val="clear" w:color="auto" w:fill="FFFFFF"/>
        <w:tabs>
          <w:tab w:val="left" w:pos="566"/>
        </w:tabs>
        <w:spacing w:line="240" w:lineRule="auto"/>
        <w:ind w:firstLine="0"/>
        <w:rPr>
          <w:color w:val="000000"/>
          <w:sz w:val="24"/>
          <w:szCs w:val="24"/>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36AF6" w:rsidRPr="00C2118D" w:rsidRDefault="00036AF6" w:rsidP="00036AF6">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36AF6" w:rsidRDefault="00036AF6" w:rsidP="00036AF6">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36AF6" w:rsidRPr="00C2118D" w:rsidRDefault="00036AF6" w:rsidP="00036AF6">
      <w:pPr>
        <w:pStyle w:val="ae"/>
        <w:shd w:val="clear" w:color="auto" w:fill="FFFFFF"/>
        <w:tabs>
          <w:tab w:val="left" w:pos="1134"/>
        </w:tabs>
        <w:ind w:left="709"/>
        <w:jc w:val="both"/>
        <w:rPr>
          <w:bCs/>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lastRenderedPageBreak/>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36AF6" w:rsidRPr="00C2118D" w:rsidRDefault="00036AF6" w:rsidP="00036AF6">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36AF6" w:rsidRPr="00C2118D" w:rsidRDefault="00036AF6" w:rsidP="00036AF6">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lastRenderedPageBreak/>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36AF6" w:rsidRPr="00C2118D" w:rsidRDefault="00036AF6" w:rsidP="00036AF6">
      <w:pPr>
        <w:pStyle w:val="ae"/>
        <w:numPr>
          <w:ilvl w:val="2"/>
          <w:numId w:val="6"/>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36AF6" w:rsidRPr="00C2118D" w:rsidRDefault="00036AF6" w:rsidP="00036AF6">
      <w:pPr>
        <w:pStyle w:val="ae"/>
        <w:shd w:val="clear" w:color="auto" w:fill="FFFFFF"/>
        <w:tabs>
          <w:tab w:val="left" w:pos="284"/>
        </w:tabs>
        <w:ind w:left="0"/>
        <w:rPr>
          <w:b/>
          <w:bCs/>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36AF6" w:rsidRPr="00C2118D" w:rsidRDefault="00036AF6" w:rsidP="00036AF6">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36AF6" w:rsidRPr="00C2118D" w:rsidRDefault="00036AF6" w:rsidP="00036AF6">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36AF6" w:rsidRPr="00C2118D" w:rsidRDefault="00036AF6" w:rsidP="00036AF6">
      <w:pPr>
        <w:tabs>
          <w:tab w:val="left" w:pos="709"/>
        </w:tabs>
        <w:spacing w:line="240" w:lineRule="auto"/>
        <w:ind w:firstLine="0"/>
        <w:rPr>
          <w:b/>
          <w:sz w:val="24"/>
          <w:szCs w:val="24"/>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lastRenderedPageBreak/>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36AF6" w:rsidRPr="00B61E86" w:rsidRDefault="00036AF6" w:rsidP="00036AF6">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36AF6" w:rsidRDefault="00036AF6" w:rsidP="00036AF6">
      <w:pPr>
        <w:pStyle w:val="ae"/>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36AF6" w:rsidRPr="005C255C" w:rsidRDefault="00036AF6" w:rsidP="00036AF6">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36AF6" w:rsidRPr="00C2118D" w:rsidRDefault="00036AF6" w:rsidP="00036AF6">
      <w:pPr>
        <w:spacing w:line="240" w:lineRule="auto"/>
        <w:ind w:firstLine="0"/>
        <w:rPr>
          <w:sz w:val="24"/>
          <w:szCs w:val="24"/>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36AF6" w:rsidRPr="00C2118D" w:rsidRDefault="00036AF6" w:rsidP="00036AF6">
      <w:pPr>
        <w:pStyle w:val="ae"/>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36AF6" w:rsidRPr="00C2118D" w:rsidRDefault="00036AF6" w:rsidP="00036AF6">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w:t>
      </w:r>
      <w:r w:rsidRPr="00C2118D">
        <w:rPr>
          <w:bCs/>
        </w:rPr>
        <w:lastRenderedPageBreak/>
        <w:t>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290E69">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36AF6" w:rsidRPr="00C2118D" w:rsidRDefault="00036AF6" w:rsidP="00036AF6">
      <w:pPr>
        <w:pStyle w:val="ae"/>
        <w:shd w:val="clear" w:color="auto" w:fill="FFFFFF"/>
        <w:tabs>
          <w:tab w:val="left" w:pos="567"/>
        </w:tabs>
        <w:ind w:left="0"/>
        <w:jc w:val="both"/>
        <w:rPr>
          <w:bCs/>
        </w:rPr>
      </w:pPr>
    </w:p>
    <w:p w:rsidR="00036AF6" w:rsidRPr="00C2118D" w:rsidRDefault="00036AF6" w:rsidP="00036AF6">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36AF6" w:rsidRPr="00C2118D" w:rsidRDefault="00036AF6" w:rsidP="00036AF6">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36AF6" w:rsidRPr="00C2118D" w:rsidRDefault="00036AF6" w:rsidP="00036AF6">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36AF6" w:rsidRPr="00C2118D" w:rsidRDefault="00036AF6" w:rsidP="00036AF6">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36AF6" w:rsidRPr="00C2118D" w:rsidRDefault="00036AF6" w:rsidP="00036AF6">
      <w:pPr>
        <w:pStyle w:val="ae"/>
        <w:numPr>
          <w:ilvl w:val="0"/>
          <w:numId w:val="87"/>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36AF6" w:rsidRPr="00C2118D" w:rsidRDefault="00036AF6" w:rsidP="00036AF6">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36AF6" w:rsidRPr="00C2118D" w:rsidRDefault="00036AF6" w:rsidP="00036AF6">
      <w:pPr>
        <w:pStyle w:val="ae"/>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36AF6" w:rsidRPr="00C2118D" w:rsidRDefault="00036AF6" w:rsidP="00036AF6">
      <w:pPr>
        <w:pStyle w:val="ae"/>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36AF6" w:rsidRPr="00C2118D" w:rsidRDefault="00036AF6" w:rsidP="00036AF6">
      <w:pPr>
        <w:pStyle w:val="ae"/>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36AF6" w:rsidRPr="00C2118D" w:rsidRDefault="00036AF6" w:rsidP="00036AF6">
      <w:pPr>
        <w:pStyle w:val="ae"/>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36AF6" w:rsidRPr="00C2118D" w:rsidRDefault="00036AF6" w:rsidP="00036AF6">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36AF6" w:rsidRPr="00C2118D" w:rsidRDefault="00036AF6" w:rsidP="00036AF6">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lastRenderedPageBreak/>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36AF6" w:rsidRPr="00E31F2B" w:rsidRDefault="00036AF6" w:rsidP="00036AF6">
      <w:pPr>
        <w:pStyle w:val="ae"/>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36AF6" w:rsidRPr="00C2118D" w:rsidRDefault="00036AF6" w:rsidP="00036AF6">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36AF6" w:rsidRPr="00C2118D" w:rsidRDefault="00036AF6" w:rsidP="00036AF6">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36AF6" w:rsidRDefault="00036AF6" w:rsidP="00036AF6">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36AF6" w:rsidRPr="00C2118D" w:rsidRDefault="00036AF6" w:rsidP="00036AF6">
      <w:pPr>
        <w:shd w:val="clear" w:color="auto" w:fill="FFFFFF"/>
        <w:tabs>
          <w:tab w:val="left" w:pos="1134"/>
          <w:tab w:val="left" w:pos="1418"/>
        </w:tabs>
        <w:ind w:left="709" w:firstLine="0"/>
      </w:pPr>
    </w:p>
    <w:p w:rsidR="00036AF6" w:rsidRPr="00C2118D" w:rsidRDefault="00036AF6" w:rsidP="00036AF6">
      <w:pPr>
        <w:pStyle w:val="ae"/>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36AF6" w:rsidRPr="00C2118D" w:rsidRDefault="00036AF6" w:rsidP="00036AF6">
      <w:pPr>
        <w:pStyle w:val="ae"/>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36AF6" w:rsidRPr="00C2118D" w:rsidRDefault="00036AF6" w:rsidP="00036AF6">
      <w:pPr>
        <w:pStyle w:val="ae"/>
        <w:numPr>
          <w:ilvl w:val="1"/>
          <w:numId w:val="6"/>
        </w:numPr>
        <w:shd w:val="clear" w:color="auto" w:fill="FFFFFF"/>
        <w:tabs>
          <w:tab w:val="left" w:pos="1134"/>
        </w:tabs>
        <w:ind w:left="0" w:firstLine="709"/>
        <w:jc w:val="both"/>
      </w:pPr>
      <w:r w:rsidRPr="00C2118D">
        <w:lastRenderedPageBreak/>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36AF6" w:rsidRPr="00C2118D" w:rsidRDefault="00036AF6" w:rsidP="00036AF6">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36AF6" w:rsidRPr="00C2118D" w:rsidRDefault="00036AF6" w:rsidP="00036AF6">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36AF6" w:rsidRPr="00C2118D" w:rsidRDefault="00036AF6" w:rsidP="00036AF6">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36AF6" w:rsidRPr="00C2118D" w:rsidRDefault="00036AF6" w:rsidP="00036AF6">
      <w:pPr>
        <w:pStyle w:val="ae"/>
        <w:numPr>
          <w:ilvl w:val="0"/>
          <w:numId w:val="86"/>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36AF6" w:rsidRPr="00C2118D" w:rsidRDefault="00036AF6" w:rsidP="00036AF6">
      <w:pPr>
        <w:pStyle w:val="ae"/>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36AF6" w:rsidRDefault="00036AF6" w:rsidP="00036AF6">
      <w:pPr>
        <w:pStyle w:val="ae"/>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36AF6" w:rsidRPr="00E31F2B" w:rsidRDefault="00036AF6" w:rsidP="00036AF6">
      <w:pPr>
        <w:pStyle w:val="ae"/>
        <w:numPr>
          <w:ilvl w:val="0"/>
          <w:numId w:val="86"/>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36AF6" w:rsidRPr="00E31F2B" w:rsidRDefault="00036AF6" w:rsidP="00036AF6">
      <w:pPr>
        <w:pStyle w:val="ae"/>
        <w:numPr>
          <w:ilvl w:val="0"/>
          <w:numId w:val="86"/>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36AF6" w:rsidRPr="00C2118D" w:rsidRDefault="00036AF6" w:rsidP="00036AF6">
      <w:pPr>
        <w:pStyle w:val="ae"/>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36AF6" w:rsidRPr="00C2118D" w:rsidRDefault="00036AF6" w:rsidP="00036AF6">
      <w:pPr>
        <w:pStyle w:val="ae"/>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36AF6" w:rsidRPr="00C2118D" w:rsidRDefault="00036AF6" w:rsidP="00036AF6">
      <w:pPr>
        <w:pStyle w:val="ae"/>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36AF6" w:rsidRPr="00C2118D" w:rsidRDefault="00036AF6" w:rsidP="00036AF6">
      <w:pPr>
        <w:pStyle w:val="ae"/>
        <w:numPr>
          <w:ilvl w:val="0"/>
          <w:numId w:val="86"/>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36AF6" w:rsidRDefault="00036AF6" w:rsidP="00036AF6">
      <w:pPr>
        <w:pStyle w:val="ae"/>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36AF6" w:rsidRDefault="00036AF6" w:rsidP="00036AF6">
      <w:pPr>
        <w:pStyle w:val="ae"/>
        <w:numPr>
          <w:ilvl w:val="0"/>
          <w:numId w:val="103"/>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36AF6" w:rsidRDefault="00036AF6" w:rsidP="00036AF6">
      <w:pPr>
        <w:pStyle w:val="ae"/>
        <w:numPr>
          <w:ilvl w:val="0"/>
          <w:numId w:val="103"/>
        </w:numPr>
        <w:shd w:val="clear" w:color="auto" w:fill="FFFFFF"/>
        <w:tabs>
          <w:tab w:val="left" w:pos="1418"/>
        </w:tabs>
        <w:ind w:left="0" w:firstLine="709"/>
        <w:jc w:val="both"/>
        <w:rPr>
          <w:rFonts w:cs="Verdana"/>
        </w:rPr>
      </w:pPr>
      <w:r w:rsidRPr="00C2118D">
        <w:lastRenderedPageBreak/>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36AF6" w:rsidRPr="00414466" w:rsidRDefault="00036AF6" w:rsidP="00036AF6">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36AF6" w:rsidRDefault="00036AF6" w:rsidP="00036AF6">
      <w:pPr>
        <w:pStyle w:val="ae"/>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36AF6" w:rsidRPr="00C2118D" w:rsidRDefault="00036AF6" w:rsidP="00036AF6">
      <w:pPr>
        <w:pStyle w:val="ae"/>
        <w:shd w:val="clear" w:color="auto" w:fill="FFFFFF"/>
        <w:tabs>
          <w:tab w:val="left" w:pos="1134"/>
        </w:tabs>
        <w:ind w:left="709"/>
        <w:jc w:val="both"/>
      </w:pPr>
    </w:p>
    <w:p w:rsidR="00036AF6" w:rsidRPr="00C2118D" w:rsidRDefault="00036AF6" w:rsidP="00036AF6">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036AF6" w:rsidRPr="00C2118D" w:rsidRDefault="00036AF6" w:rsidP="00036AF6">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36AF6" w:rsidRPr="00C2118D" w:rsidRDefault="00036AF6" w:rsidP="00036AF6">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036AF6" w:rsidRPr="00C2118D" w:rsidRDefault="00036AF6" w:rsidP="00036AF6">
      <w:pPr>
        <w:pStyle w:val="ae"/>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36AF6" w:rsidRPr="00C2118D" w:rsidRDefault="00036AF6" w:rsidP="00036AF6">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36AF6" w:rsidRDefault="00036AF6" w:rsidP="00036AF6">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36AF6" w:rsidRPr="00885F50" w:rsidRDefault="00036AF6" w:rsidP="00036AF6">
      <w:pPr>
        <w:shd w:val="clear" w:color="auto" w:fill="FFFFFF"/>
        <w:tabs>
          <w:tab w:val="left" w:pos="1134"/>
          <w:tab w:val="left" w:pos="1418"/>
        </w:tabs>
        <w:ind w:left="709" w:firstLine="0"/>
        <w:rPr>
          <w:bCs/>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36AF6" w:rsidRPr="00C2118D" w:rsidRDefault="00036AF6" w:rsidP="00036AF6">
      <w:pPr>
        <w:pStyle w:val="ae"/>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36AF6" w:rsidRPr="00C2118D" w:rsidRDefault="00036AF6" w:rsidP="00036AF6">
      <w:pPr>
        <w:pStyle w:val="ae"/>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36AF6" w:rsidRPr="00C2118D" w:rsidRDefault="00036AF6" w:rsidP="00036AF6">
      <w:pPr>
        <w:pStyle w:val="ae"/>
        <w:numPr>
          <w:ilvl w:val="1"/>
          <w:numId w:val="6"/>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9" w:name="_Ref361338019"/>
      <w:r w:rsidRPr="00C2118D">
        <w:lastRenderedPageBreak/>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36AF6" w:rsidRPr="00062140" w:rsidRDefault="00036AF6" w:rsidP="00036AF6">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36AF6" w:rsidRPr="00062140" w:rsidRDefault="00036AF6" w:rsidP="00036AF6">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36AF6" w:rsidRPr="00062140" w:rsidRDefault="00036AF6" w:rsidP="00036AF6">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36AF6" w:rsidRPr="00C2118D" w:rsidRDefault="00036AF6" w:rsidP="00036AF6">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36AF6" w:rsidRPr="00ED6DBC" w:rsidRDefault="00036AF6" w:rsidP="00036AF6">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36AF6" w:rsidRPr="00C76893" w:rsidRDefault="00036AF6" w:rsidP="00036AF6">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36AF6" w:rsidRDefault="00036AF6" w:rsidP="00036AF6">
      <w:pPr>
        <w:pStyle w:val="ae"/>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lastRenderedPageBreak/>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lastRenderedPageBreak/>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lastRenderedPageBreak/>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w:t>
      </w:r>
      <w:r w:rsidRPr="00045920">
        <w:lastRenderedPageBreak/>
        <w:t>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lastRenderedPageBreak/>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lastRenderedPageBreak/>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9C4" w:rsidRDefault="007B39C4">
      <w:r>
        <w:separator/>
      </w:r>
    </w:p>
  </w:endnote>
  <w:endnote w:type="continuationSeparator" w:id="0">
    <w:p w:rsidR="007B39C4" w:rsidRDefault="007B39C4">
      <w:r>
        <w:continuationSeparator/>
      </w:r>
    </w:p>
  </w:endnote>
  <w:endnote w:type="continuationNotice" w:id="1">
    <w:p w:rsidR="007B39C4" w:rsidRDefault="007B39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287" w:rsidRPr="003A0F1D" w:rsidRDefault="00902287">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287" w:rsidRDefault="00902287">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9C4" w:rsidRDefault="007B39C4">
      <w:r>
        <w:separator/>
      </w:r>
    </w:p>
  </w:footnote>
  <w:footnote w:type="continuationSeparator" w:id="0">
    <w:p w:rsidR="007B39C4" w:rsidRDefault="007B39C4">
      <w:r>
        <w:continuationSeparator/>
      </w:r>
    </w:p>
  </w:footnote>
  <w:footnote w:type="continuationNotice" w:id="1">
    <w:p w:rsidR="007B39C4" w:rsidRDefault="007B39C4">
      <w:pPr>
        <w:spacing w:line="240" w:lineRule="auto"/>
      </w:pPr>
    </w:p>
  </w:footnote>
  <w:footnote w:id="2">
    <w:p w:rsidR="00902287" w:rsidRDefault="00902287" w:rsidP="00036AF6">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902287" w:rsidRDefault="00902287">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902287" w:rsidRPr="00F75D6A" w:rsidRDefault="00902287"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902287" w:rsidRPr="00BA3A83" w:rsidRDefault="00902287"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902287" w:rsidRPr="001F3865" w:rsidRDefault="00902287"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287" w:rsidRDefault="00902287"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3F24023"/>
    <w:multiLevelType w:val="multilevel"/>
    <w:tmpl w:val="8C481D04"/>
    <w:lvl w:ilvl="0">
      <w:start w:val="1"/>
      <w:numFmt w:val="decimal"/>
      <w:lvlText w:val="%1."/>
      <w:lvlJc w:val="left"/>
      <w:pPr>
        <w:ind w:left="540" w:hanging="540"/>
      </w:pPr>
      <w:rPr>
        <w:rFonts w:hint="default"/>
      </w:rPr>
    </w:lvl>
    <w:lvl w:ilvl="1">
      <w:start w:val="2"/>
      <w:numFmt w:val="decimal"/>
      <w:lvlText w:val="%1.%2."/>
      <w:lvlJc w:val="left"/>
      <w:pPr>
        <w:ind w:left="2241" w:hanging="54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73"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B5D49CF"/>
    <w:multiLevelType w:val="multilevel"/>
    <w:tmpl w:val="735C34DC"/>
    <w:lvl w:ilvl="0">
      <w:start w:val="1"/>
      <w:numFmt w:val="decimal"/>
      <w:lvlText w:val="%1."/>
      <w:lvlJc w:val="left"/>
      <w:pPr>
        <w:ind w:left="2204" w:hanging="360"/>
      </w:pPr>
      <w:rPr>
        <w:b/>
      </w:rPr>
    </w:lvl>
    <w:lvl w:ilvl="1">
      <w:start w:val="1"/>
      <w:numFmt w:val="decimal"/>
      <w:lvlText w:val="%1.%2."/>
      <w:lvlJc w:val="left"/>
      <w:pPr>
        <w:ind w:left="574" w:hanging="432"/>
      </w:pPr>
      <w:rPr>
        <w:b w:val="0"/>
        <w:i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3"/>
  </w:num>
  <w:num w:numId="3">
    <w:abstractNumId w:val="79"/>
  </w:num>
  <w:num w:numId="4">
    <w:abstractNumId w:val="1"/>
  </w:num>
  <w:num w:numId="5">
    <w:abstractNumId w:val="105"/>
  </w:num>
  <w:num w:numId="6">
    <w:abstractNumId w:val="76"/>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28"/>
  </w:num>
  <w:num w:numId="15">
    <w:abstractNumId w:val="62"/>
  </w:num>
  <w:num w:numId="16">
    <w:abstractNumId w:val="37"/>
  </w:num>
  <w:num w:numId="17">
    <w:abstractNumId w:val="46"/>
  </w:num>
  <w:num w:numId="18">
    <w:abstractNumId w:val="95"/>
  </w:num>
  <w:num w:numId="19">
    <w:abstractNumId w:val="19"/>
  </w:num>
  <w:num w:numId="20">
    <w:abstractNumId w:val="81"/>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22"/>
  </w:num>
  <w:num w:numId="24">
    <w:abstractNumId w:val="77"/>
  </w:num>
  <w:num w:numId="25">
    <w:abstractNumId w:val="103"/>
  </w:num>
  <w:num w:numId="26">
    <w:abstractNumId w:val="45"/>
  </w:num>
  <w:num w:numId="27">
    <w:abstractNumId w:val="55"/>
  </w:num>
  <w:num w:numId="28">
    <w:abstractNumId w:val="6"/>
  </w:num>
  <w:num w:numId="29">
    <w:abstractNumId w:val="75"/>
  </w:num>
  <w:num w:numId="30">
    <w:abstractNumId w:val="92"/>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1"/>
  </w:num>
  <w:num w:numId="34">
    <w:abstractNumId w:val="56"/>
  </w:num>
  <w:num w:numId="35">
    <w:abstractNumId w:val="88"/>
  </w:num>
  <w:num w:numId="36">
    <w:abstractNumId w:val="7"/>
  </w:num>
  <w:num w:numId="37">
    <w:abstractNumId w:val="66"/>
  </w:num>
  <w:num w:numId="38">
    <w:abstractNumId w:val="94"/>
  </w:num>
  <w:num w:numId="39">
    <w:abstractNumId w:val="99"/>
  </w:num>
  <w:num w:numId="40">
    <w:abstractNumId w:val="84"/>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1"/>
  </w:num>
  <w:num w:numId="49">
    <w:abstractNumId w:val="67"/>
  </w:num>
  <w:num w:numId="50">
    <w:abstractNumId w:val="102"/>
  </w:num>
  <w:num w:numId="51">
    <w:abstractNumId w:val="71"/>
  </w:num>
  <w:num w:numId="52">
    <w:abstractNumId w:val="41"/>
  </w:num>
  <w:num w:numId="53">
    <w:abstractNumId w:val="38"/>
  </w:num>
  <w:num w:numId="54">
    <w:abstractNumId w:val="12"/>
  </w:num>
  <w:num w:numId="55">
    <w:abstractNumId w:val="104"/>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7"/>
  </w:num>
  <w:num w:numId="61">
    <w:abstractNumId w:val="42"/>
  </w:num>
  <w:num w:numId="62">
    <w:abstractNumId w:val="17"/>
  </w:num>
  <w:num w:numId="63">
    <w:abstractNumId w:val="91"/>
  </w:num>
  <w:num w:numId="64">
    <w:abstractNumId w:val="30"/>
  </w:num>
  <w:num w:numId="65">
    <w:abstractNumId w:val="89"/>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100"/>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80"/>
  </w:num>
  <w:num w:numId="82">
    <w:abstractNumId w:val="44"/>
  </w:num>
  <w:num w:numId="83">
    <w:abstractNumId w:val="5"/>
  </w:num>
  <w:num w:numId="84">
    <w:abstractNumId w:val="3"/>
  </w:num>
  <w:num w:numId="85">
    <w:abstractNumId w:val="27"/>
  </w:num>
  <w:num w:numId="86">
    <w:abstractNumId w:val="40"/>
  </w:num>
  <w:num w:numId="87">
    <w:abstractNumId w:val="74"/>
  </w:num>
  <w:num w:numId="88">
    <w:abstractNumId w:val="59"/>
  </w:num>
  <w:num w:numId="89">
    <w:abstractNumId w:val="83"/>
  </w:num>
  <w:num w:numId="90">
    <w:abstractNumId w:val="64"/>
  </w:num>
  <w:num w:numId="91">
    <w:abstractNumId w:val="68"/>
  </w:num>
  <w:num w:numId="92">
    <w:abstractNumId w:val="49"/>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2"/>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 w:numId="11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AF6"/>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5F5C"/>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2EF"/>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0E69"/>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8A9"/>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61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642C"/>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50F"/>
    <w:rsid w:val="007A0BA9"/>
    <w:rsid w:val="007A1907"/>
    <w:rsid w:val="007A22E8"/>
    <w:rsid w:val="007A2997"/>
    <w:rsid w:val="007A39A0"/>
    <w:rsid w:val="007A3CDB"/>
    <w:rsid w:val="007A592B"/>
    <w:rsid w:val="007A636B"/>
    <w:rsid w:val="007A792E"/>
    <w:rsid w:val="007A7A03"/>
    <w:rsid w:val="007B266E"/>
    <w:rsid w:val="007B2C66"/>
    <w:rsid w:val="007B38D1"/>
    <w:rsid w:val="007B39C4"/>
    <w:rsid w:val="007B55F9"/>
    <w:rsid w:val="007B5A53"/>
    <w:rsid w:val="007B603C"/>
    <w:rsid w:val="007C0488"/>
    <w:rsid w:val="007C0FD5"/>
    <w:rsid w:val="007C154F"/>
    <w:rsid w:val="007C2490"/>
    <w:rsid w:val="007C260B"/>
    <w:rsid w:val="007C336E"/>
    <w:rsid w:val="007C3717"/>
    <w:rsid w:val="007C3B95"/>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C7"/>
    <w:rsid w:val="00805BAD"/>
    <w:rsid w:val="0080610C"/>
    <w:rsid w:val="00806EB1"/>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287"/>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69E7"/>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3E9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4D4B"/>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25"/>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3FB"/>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44A"/>
    <w:rsid w:val="00D93D96"/>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204E"/>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C1A8F6"/>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D2819-1CA7-4B0B-A01D-5016AF39B033}">
  <ds:schemaRefs>
    <ds:schemaRef ds:uri="http://schemas.openxmlformats.org/officeDocument/2006/bibliography"/>
  </ds:schemaRefs>
</ds:datastoreItem>
</file>

<file path=customXml/itemProps2.xml><?xml version="1.0" encoding="utf-8"?>
<ds:datastoreItem xmlns:ds="http://schemas.openxmlformats.org/officeDocument/2006/customXml" ds:itemID="{ED6A4539-98B3-4370-8332-0A95B0A81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19198</Words>
  <Characters>109429</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128371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3</cp:revision>
  <cp:lastPrinted>2020-08-18T06:44:00Z</cp:lastPrinted>
  <dcterms:created xsi:type="dcterms:W3CDTF">2020-09-01T06:23:00Z</dcterms:created>
  <dcterms:modified xsi:type="dcterms:W3CDTF">2020-09-01T06:23:00Z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