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1403F2" w:rsidRPr="00144E58" w14:paraId="409F57BD" w14:textId="77777777" w:rsidTr="007754ED">
        <w:tc>
          <w:tcPr>
            <w:tcW w:w="10173" w:type="dxa"/>
            <w:vAlign w:val="center"/>
          </w:tcPr>
          <w:p w14:paraId="626515F0" w14:textId="77777777" w:rsidR="001403F2" w:rsidRDefault="001403F2" w:rsidP="007754ED">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5B078655" w14:textId="77777777" w:rsidR="001403F2" w:rsidRDefault="001403F2" w:rsidP="007754ED">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4AB9452B" w14:textId="77777777" w:rsidR="001403F2" w:rsidRPr="00144E58" w:rsidRDefault="001403F2" w:rsidP="007754ED">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BF5D4B0" w14:textId="77777777" w:rsidR="001403F2" w:rsidRPr="00AE4AA9" w:rsidRDefault="001403F2" w:rsidP="001403F2">
      <w:pPr>
        <w:jc w:val="left"/>
      </w:pPr>
      <w:r w:rsidRPr="001C5091">
        <w:rPr>
          <w:rFonts w:ascii="Arial" w:hAnsi="Arial" w:cs="Arial"/>
          <w:b/>
          <w:bCs/>
          <w:noProof/>
          <w:sz w:val="20"/>
        </w:rPr>
        <w:drawing>
          <wp:anchor distT="0" distB="0" distL="114300" distR="114300" simplePos="0" relativeHeight="251659264" behindDoc="1" locked="0" layoutInCell="1" allowOverlap="1" wp14:anchorId="3DB5A60A" wp14:editId="7CAF9EED">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ED3469" w14:textId="77777777" w:rsidR="001403F2" w:rsidRPr="00D25F7D" w:rsidRDefault="001403F2" w:rsidP="001403F2">
      <w:pPr>
        <w:ind w:left="4395" w:hanging="11"/>
        <w:rPr>
          <w:snapToGrid/>
          <w:szCs w:val="28"/>
        </w:rPr>
      </w:pPr>
      <w:r w:rsidRPr="00D25F7D">
        <w:rPr>
          <w:szCs w:val="28"/>
        </w:rPr>
        <w:t>«УТВЕРЖДАЮ»</w:t>
      </w:r>
    </w:p>
    <w:p w14:paraId="07007D22" w14:textId="77777777" w:rsidR="001403F2" w:rsidRPr="00FC0CA5" w:rsidRDefault="001403F2" w:rsidP="001403F2">
      <w:pPr>
        <w:ind w:left="4395" w:hanging="11"/>
        <w:rPr>
          <w:szCs w:val="28"/>
        </w:rPr>
      </w:pPr>
      <w:r w:rsidRPr="00FC0CA5">
        <w:rPr>
          <w:szCs w:val="28"/>
        </w:rPr>
        <w:t>Председатель закупочной комиссии</w:t>
      </w:r>
    </w:p>
    <w:p w14:paraId="38CD44CA" w14:textId="77777777" w:rsidR="001403F2" w:rsidRDefault="001403F2" w:rsidP="001403F2">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0DB99BBE" w14:textId="35D4BF24" w:rsidR="00AD5D76" w:rsidRPr="00822749" w:rsidRDefault="001403F2" w:rsidP="001403F2">
      <w:pPr>
        <w:ind w:left="4395" w:hanging="11"/>
        <w:rPr>
          <w:szCs w:val="28"/>
        </w:rPr>
      </w:pPr>
      <w:r w:rsidRPr="00D17864">
        <w:rPr>
          <w:szCs w:val="28"/>
        </w:rPr>
        <w:t>«___» _______________ 20</w:t>
      </w:r>
      <w:r>
        <w:rPr>
          <w:szCs w:val="28"/>
        </w:rPr>
        <w:t>20</w:t>
      </w:r>
      <w:r w:rsidRPr="00D17864">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10FB5B10" w:rsidR="007B7C44" w:rsidRPr="007B7C44" w:rsidRDefault="007B7C44" w:rsidP="007B7C44">
      <w:pPr>
        <w:spacing w:before="480" w:after="360"/>
        <w:jc w:val="center"/>
        <w:outlineLvl w:val="4"/>
        <w:rPr>
          <w:b/>
        </w:rPr>
      </w:pPr>
      <w:r w:rsidRPr="007B7C44">
        <w:rPr>
          <w:b/>
        </w:rPr>
        <w:t xml:space="preserve">(Лот № </w:t>
      </w:r>
      <w:r w:rsidR="00A069FF" w:rsidRPr="00A069FF">
        <w:rPr>
          <w:b/>
        </w:rPr>
        <w:t>91601-ТПИР ОБСЛ-2020-ДРСК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6CABEF4C" w:rsidR="00AD5D76" w:rsidRPr="00C91BE0" w:rsidRDefault="00AD5D76" w:rsidP="006E51B3">
            <w:pPr>
              <w:pStyle w:val="afa"/>
              <w:tabs>
                <w:tab w:val="clear" w:pos="1134"/>
              </w:tabs>
              <w:spacing w:before="0"/>
              <w:jc w:val="left"/>
              <w:rPr>
                <w:b/>
                <w:i/>
                <w:snapToGrid w:val="0"/>
                <w:szCs w:val="26"/>
                <w:lang w:eastAsia="en-US"/>
              </w:rPr>
            </w:pPr>
            <w:r w:rsidRPr="00C91BE0">
              <w:rPr>
                <w:b/>
                <w:i/>
                <w:snapToGrid w:val="0"/>
                <w:szCs w:val="26"/>
                <w:lang w:eastAsia="en-US"/>
              </w:rPr>
              <w:t>№</w:t>
            </w:r>
            <w:r w:rsidR="006E51B3">
              <w:rPr>
                <w:b/>
                <w:i/>
                <w:snapToGrid w:val="0"/>
                <w:szCs w:val="26"/>
                <w:lang w:eastAsia="en-US"/>
              </w:rPr>
              <w:t>409</w:t>
            </w:r>
            <w:bookmarkStart w:id="0" w:name="_GoBack"/>
            <w:bookmarkEnd w:id="0"/>
            <w:r w:rsidRPr="00C91BE0">
              <w:rPr>
                <w:b/>
                <w:i/>
                <w:snapToGrid w:val="0"/>
                <w:szCs w:val="26"/>
                <w:lang w:eastAsia="en-US"/>
              </w:rPr>
              <w:t>/</w:t>
            </w:r>
            <w:r>
              <w:rPr>
                <w:b/>
                <w:i/>
                <w:snapToGrid w:val="0"/>
                <w:szCs w:val="26"/>
                <w:lang w:eastAsia="en-US"/>
              </w:rPr>
              <w:t>У</w:t>
            </w:r>
            <w:r w:rsidR="00432C39">
              <w:rPr>
                <w:b/>
                <w:i/>
                <w:snapToGrid w:val="0"/>
                <w:szCs w:val="26"/>
                <w:lang w:eastAsia="en-US"/>
              </w:rPr>
              <w:t>ТПиР</w:t>
            </w:r>
          </w:p>
        </w:tc>
        <w:tc>
          <w:tcPr>
            <w:tcW w:w="4786" w:type="dxa"/>
            <w:hideMark/>
          </w:tcPr>
          <w:p w14:paraId="2FCA29DF" w14:textId="3B0E8AE8" w:rsidR="00AD5D76" w:rsidRDefault="00AD5D76" w:rsidP="002C3A01">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sidR="00DE13F8">
              <w:rPr>
                <w:b/>
                <w:i/>
                <w:szCs w:val="26"/>
                <w:lang w:eastAsia="en-US"/>
              </w:rPr>
              <w:t>«</w:t>
            </w:r>
            <w:r w:rsidR="00A069FF">
              <w:rPr>
                <w:b/>
                <w:i/>
                <w:szCs w:val="26"/>
                <w:lang w:eastAsia="en-US"/>
              </w:rPr>
              <w:t>06</w:t>
            </w:r>
            <w:r w:rsidR="00DE13F8">
              <w:rPr>
                <w:b/>
                <w:i/>
                <w:szCs w:val="26"/>
                <w:lang w:eastAsia="en-US"/>
              </w:rPr>
              <w:t xml:space="preserve">» </w:t>
            </w:r>
            <w:r w:rsidR="00A069FF">
              <w:rPr>
                <w:b/>
                <w:i/>
                <w:szCs w:val="26"/>
                <w:lang w:eastAsia="en-US"/>
              </w:rPr>
              <w:t>марта</w:t>
            </w:r>
            <w:r w:rsidR="00DE13F8">
              <w:rPr>
                <w:b/>
                <w:i/>
                <w:szCs w:val="26"/>
                <w:lang w:eastAsia="en-US"/>
              </w:rPr>
              <w:t xml:space="preserve"> 2020</w:t>
            </w:r>
          </w:p>
          <w:p w14:paraId="2324C876" w14:textId="0C4435A1" w:rsidR="00DE13F8" w:rsidRPr="00C91BE0" w:rsidRDefault="00DE13F8" w:rsidP="002C3A01">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4C2C7CC" w:rsidR="005A78D9" w:rsidRPr="00DB7BCB" w:rsidRDefault="005925F6" w:rsidP="00FD1095">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00FB0D0D"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A306425"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7EB0A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04C4B2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79EC6930" w:rsidR="00AD5D76" w:rsidRPr="00CF3DAB" w:rsidRDefault="00FD1095" w:rsidP="00FD1095">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248E9FE0"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982839"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E4BCFFF"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D7759CE"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8"/>
                  <w:b w:val="0"/>
                  <w:snapToGrid w:val="0"/>
                  <w:sz w:val="26"/>
                  <w:szCs w:val="26"/>
                </w:rPr>
                <w:t>doc@drsk.ru</w:t>
              </w:r>
            </w:hyperlink>
          </w:p>
          <w:p w14:paraId="6B182172" w14:textId="26BD0A88" w:rsidR="00AD5D76" w:rsidRPr="00DB7BCB" w:rsidRDefault="00FD1095" w:rsidP="00FD1095">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266E65A0"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sidR="00A069FF" w:rsidRPr="00A069FF">
              <w:rPr>
                <w:b w:val="0"/>
                <w:sz w:val="26"/>
                <w:szCs w:val="26"/>
              </w:rPr>
              <w:t>91601-ТПИР ОБСЛ-2020-ДРСК</w:t>
            </w:r>
            <w:r>
              <w:rPr>
                <w:b w:val="0"/>
                <w:snapToGrid w:val="0"/>
                <w:sz w:val="26"/>
                <w:szCs w:val="26"/>
              </w:rPr>
              <w:t>:</w:t>
            </w:r>
          </w:p>
          <w:p w14:paraId="5C2F78FC" w14:textId="27D86C88" w:rsidR="005A78D9" w:rsidRPr="00DB7BCB" w:rsidRDefault="00AD5D76" w:rsidP="00B87CFD">
            <w:pPr>
              <w:widowControl w:val="0"/>
              <w:spacing w:after="120"/>
              <w:rPr>
                <w:b/>
              </w:rPr>
            </w:pPr>
            <w:r w:rsidRPr="00B87CFD">
              <w:t xml:space="preserve"> </w:t>
            </w:r>
            <w:r w:rsidRPr="00A069FF">
              <w:rPr>
                <w:b/>
                <w:i/>
              </w:rPr>
              <w:t>«</w:t>
            </w:r>
            <w:r w:rsidR="00A069FF" w:rsidRPr="00A069FF">
              <w:rPr>
                <w:b/>
                <w:i/>
              </w:rPr>
              <w:t>Устройство релейной защиты и телемеханики встроенной ТП 10/0,4 кВ на объекте "Административное здание АО "ДРСК" в 34 квартале г. Благовещенска</w:t>
            </w:r>
            <w:r w:rsidRPr="00A069FF">
              <w:rPr>
                <w:b/>
                <w:i/>
              </w:rPr>
              <w:t>»</w:t>
            </w:r>
            <w:r w:rsidRPr="00B87CFD">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F386CB1" w:rsidR="00845457" w:rsidRPr="00DB7BCB" w:rsidRDefault="00845457" w:rsidP="00510195">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r w:rsidR="009E1E59" w:rsidRPr="00DB7BCB">
              <w:rPr>
                <w:rFonts w:ascii="Times New Roman" w:eastAsia="Times New Roman" w:hAnsi="Times New Roman"/>
                <w:noProof w:val="0"/>
                <w:snapToGrid w:val="0"/>
                <w:sz w:val="26"/>
                <w:lang w:eastAsia="ru-RU"/>
              </w:rPr>
              <w:t xml:space="preserve">составляет </w:t>
            </w:r>
            <w:r w:rsidR="00510195" w:rsidRPr="00510195">
              <w:rPr>
                <w:rFonts w:ascii="Times New Roman" w:eastAsia="Times New Roman" w:hAnsi="Times New Roman"/>
                <w:b/>
                <w:i/>
                <w:noProof w:val="0"/>
                <w:snapToGrid w:val="0"/>
                <w:sz w:val="26"/>
                <w:lang w:eastAsia="ru-RU"/>
              </w:rPr>
              <w:t>2 663 271.00</w:t>
            </w:r>
            <w:r w:rsidR="009E1E59">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0A1C2C9F" w:rsidR="006C03D6" w:rsidRPr="00D2146E" w:rsidRDefault="00DE13F8" w:rsidP="000E44F2">
            <w:pPr>
              <w:widowControl w:val="0"/>
              <w:spacing w:after="120"/>
              <w:rPr>
                <w:b/>
                <w:i/>
              </w:rPr>
            </w:pPr>
            <w:r w:rsidRPr="00ED36A9">
              <w:rPr>
                <w:b/>
                <w:i/>
                <w:snapToGrid/>
              </w:rPr>
              <w:t>«</w:t>
            </w:r>
            <w:r w:rsidR="007754ED">
              <w:rPr>
                <w:b/>
                <w:i/>
                <w:snapToGrid/>
              </w:rPr>
              <w:t>06</w:t>
            </w:r>
            <w:r w:rsidRPr="00ED36A9">
              <w:rPr>
                <w:b/>
                <w:i/>
                <w:snapToGrid/>
              </w:rPr>
              <w:t xml:space="preserve">» </w:t>
            </w:r>
            <w:r w:rsidR="007754ED">
              <w:rPr>
                <w:b/>
                <w:i/>
                <w:snapToGrid/>
              </w:rPr>
              <w:t>марта</w:t>
            </w:r>
            <w:r w:rsidRPr="00ED36A9">
              <w:rPr>
                <w:b/>
                <w:i/>
                <w:snapToGrid/>
              </w:rPr>
              <w:t xml:space="preserve"> 2020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662FF845" w:rsidR="006C03D6" w:rsidRPr="00DB7BCB" w:rsidRDefault="00DE13F8" w:rsidP="007754ED">
            <w:pPr>
              <w:pStyle w:val="Tableheader"/>
              <w:widowControl w:val="0"/>
              <w:spacing w:after="120"/>
              <w:rPr>
                <w:b w:val="0"/>
                <w:snapToGrid w:val="0"/>
                <w:sz w:val="26"/>
                <w:szCs w:val="26"/>
              </w:rPr>
            </w:pPr>
            <w:r>
              <w:rPr>
                <w:i/>
                <w:sz w:val="26"/>
                <w:szCs w:val="26"/>
              </w:rPr>
              <w:t>«</w:t>
            </w:r>
            <w:r w:rsidR="007754ED">
              <w:rPr>
                <w:i/>
                <w:sz w:val="26"/>
                <w:szCs w:val="26"/>
              </w:rPr>
              <w:t>23</w:t>
            </w:r>
            <w:r>
              <w:rPr>
                <w:i/>
                <w:sz w:val="26"/>
                <w:szCs w:val="26"/>
              </w:rPr>
              <w:t xml:space="preserve">» </w:t>
            </w:r>
            <w:r w:rsidR="007754ED">
              <w:rPr>
                <w:i/>
                <w:sz w:val="26"/>
                <w:szCs w:val="26"/>
              </w:rPr>
              <w:t>марта</w:t>
            </w:r>
            <w:r>
              <w:rPr>
                <w:i/>
                <w:sz w:val="26"/>
                <w:szCs w:val="26"/>
              </w:rPr>
              <w:t xml:space="preserve"> 2020 </w:t>
            </w:r>
            <w:r w:rsidR="006C03D6" w:rsidRPr="00D2146E">
              <w:rPr>
                <w:i/>
                <w:sz w:val="26"/>
                <w:szCs w:val="26"/>
              </w:rPr>
              <w:t>г.</w:t>
            </w:r>
            <w:r w:rsidR="006C03D6" w:rsidRPr="00DE13F8">
              <w:rPr>
                <w:i/>
                <w:sz w:val="26"/>
                <w:szCs w:val="26"/>
              </w:rPr>
              <w:t xml:space="preserve"> </w:t>
            </w:r>
            <w:r w:rsidR="006C03D6" w:rsidRPr="00EA5846">
              <w:rPr>
                <w:i/>
                <w:sz w:val="26"/>
                <w:szCs w:val="26"/>
              </w:rPr>
              <w:t>в </w:t>
            </w:r>
            <w:r w:rsidR="00D2146E" w:rsidRPr="00DE13F8">
              <w:rPr>
                <w:i/>
                <w:sz w:val="26"/>
                <w:szCs w:val="26"/>
              </w:rPr>
              <w:t>09</w:t>
            </w:r>
            <w:r w:rsidR="006C03D6" w:rsidRPr="00DE13F8">
              <w:rPr>
                <w:i/>
                <w:sz w:val="26"/>
                <w:szCs w:val="26"/>
              </w:rPr>
              <w:t xml:space="preserve"> </w:t>
            </w:r>
            <w:r w:rsidR="006C03D6" w:rsidRPr="00EA5846">
              <w:rPr>
                <w:i/>
                <w:snapToGrid w:val="0"/>
                <w:sz w:val="26"/>
                <w:szCs w:val="26"/>
              </w:rPr>
              <w:t xml:space="preserve">ч. </w:t>
            </w:r>
            <w:r w:rsidR="00D2146E" w:rsidRPr="00EA5846">
              <w:rPr>
                <w:i/>
                <w:snapToGrid w:val="0"/>
                <w:sz w:val="26"/>
                <w:szCs w:val="26"/>
              </w:rPr>
              <w:t>00</w:t>
            </w:r>
            <w:r w:rsidR="006C03D6" w:rsidRPr="00EA5846">
              <w:rPr>
                <w:i/>
                <w:snapToGrid w:val="0"/>
                <w:sz w:val="26"/>
                <w:szCs w:val="26"/>
              </w:rPr>
              <w:t xml:space="preserve"> мин</w:t>
            </w:r>
            <w:r w:rsidR="006C03D6" w:rsidRPr="00DB7BCB">
              <w:rPr>
                <w:b w:val="0"/>
                <w:snapToGrid w:val="0"/>
                <w:sz w:val="26"/>
                <w:szCs w:val="26"/>
              </w:rPr>
              <w:t>.</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1ECE5F7B" w:rsidR="00853A6E" w:rsidRPr="00853A6E" w:rsidRDefault="00DE13F8" w:rsidP="007754ED">
            <w:pPr>
              <w:widowControl w:val="0"/>
              <w:tabs>
                <w:tab w:val="left" w:pos="426"/>
              </w:tabs>
              <w:spacing w:after="120"/>
              <w:rPr>
                <w:rStyle w:val="af8"/>
                <w:b w:val="0"/>
              </w:rPr>
            </w:pPr>
            <w:r w:rsidRPr="00ED36A9">
              <w:rPr>
                <w:b/>
                <w:i/>
                <w:snapToGrid/>
              </w:rPr>
              <w:t>«</w:t>
            </w:r>
            <w:r w:rsidR="007754ED">
              <w:rPr>
                <w:b/>
                <w:i/>
                <w:snapToGrid/>
              </w:rPr>
              <w:t>15</w:t>
            </w:r>
            <w:r w:rsidRPr="00ED36A9">
              <w:rPr>
                <w:b/>
                <w:i/>
                <w:snapToGrid/>
              </w:rPr>
              <w:t xml:space="preserve">» </w:t>
            </w:r>
            <w:r w:rsidR="007754ED">
              <w:rPr>
                <w:b/>
                <w:i/>
                <w:snapToGrid/>
              </w:rPr>
              <w:t>апреля</w:t>
            </w:r>
            <w:r w:rsidRPr="00ED36A9">
              <w:rPr>
                <w:b/>
                <w:i/>
                <w:snapToGrid/>
              </w:rPr>
              <w:t xml:space="preserve"> 2020 </w:t>
            </w:r>
            <w:r w:rsidR="00EA5846" w:rsidRPr="00EA5846">
              <w:rPr>
                <w:b/>
                <w:i/>
              </w:rPr>
              <w:t>г. в 09 ч. 00 мин</w:t>
            </w:r>
            <w:r w:rsidR="00EA5846" w:rsidRPr="00EA5846">
              <w:t>.</w:t>
            </w:r>
            <w:r w:rsidR="00EA5846"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6B3168FF" w:rsidR="00AD5D76" w:rsidRPr="00FC0CA5" w:rsidRDefault="00DE13F8" w:rsidP="00AD5D76">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7381E57" w14:textId="77777777" w:rsidR="00AD5D76" w:rsidRPr="00917CB6" w:rsidRDefault="00AD5D76" w:rsidP="00AD5D76">
      <w:pPr>
        <w:ind w:left="4395" w:hanging="11"/>
        <w:jc w:val="center"/>
        <w:rPr>
          <w:szCs w:val="28"/>
        </w:rPr>
      </w:pPr>
    </w:p>
    <w:p w14:paraId="1EF0D61C" w14:textId="5EA734AD" w:rsidR="00AD5D76" w:rsidRDefault="00AD5D76" w:rsidP="00AD5D76">
      <w:pPr>
        <w:ind w:left="4395" w:hanging="11"/>
      </w:pPr>
      <w:r w:rsidRPr="00B26836">
        <w:rPr>
          <w:szCs w:val="28"/>
        </w:rPr>
        <w:t xml:space="preserve">__________________ </w:t>
      </w:r>
      <w:r w:rsidR="00DE13F8">
        <w:t>В.А. Юхимук</w:t>
      </w:r>
      <w:r w:rsidRPr="000E30C2">
        <w:t xml:space="preserve"> </w:t>
      </w:r>
    </w:p>
    <w:p w14:paraId="1852B63C" w14:textId="36FCBDFC" w:rsidR="00AD5D76" w:rsidRPr="00D17864" w:rsidRDefault="00AD5D76" w:rsidP="00AD5D76">
      <w:pPr>
        <w:ind w:left="4395" w:hanging="11"/>
        <w:rPr>
          <w:szCs w:val="28"/>
        </w:rPr>
      </w:pPr>
      <w:r w:rsidRPr="00D17864">
        <w:rPr>
          <w:szCs w:val="28"/>
        </w:rPr>
        <w:t xml:space="preserve">«___» _______________ </w:t>
      </w:r>
      <w:r w:rsidR="00DE13F8" w:rsidRPr="000E30C2">
        <w:t>20</w:t>
      </w:r>
      <w:r w:rsidR="00DE13F8">
        <w:t xml:space="preserve">20 </w:t>
      </w:r>
      <w:r w:rsidR="00DE13F8" w:rsidRPr="000E30C2">
        <w:t>год</w:t>
      </w:r>
      <w:r w:rsidRPr="00D17864">
        <w:rPr>
          <w:szCs w:val="28"/>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66C71BD0" w:rsidR="00D51C4F" w:rsidRPr="00C55B01" w:rsidRDefault="00AD5D76" w:rsidP="00D51C4F">
      <w:pPr>
        <w:jc w:val="center"/>
      </w:pPr>
      <w:r w:rsidRPr="00B01497">
        <w:rPr>
          <w:b/>
          <w:i/>
        </w:rPr>
        <w:t>«</w:t>
      </w:r>
      <w:r w:rsidR="00A069FF" w:rsidRPr="00A069FF">
        <w:rPr>
          <w:b/>
          <w:i/>
        </w:rPr>
        <w:t>Устройство релейной защиты и телемеханики встроенной ТП 10/0,4 кВ на объекте "Административное здание АО "ДРСК" в 34 квартале г. Благовещенска</w:t>
      </w:r>
      <w:r w:rsidRPr="00B01497">
        <w:rPr>
          <w:b/>
          <w:i/>
        </w:rPr>
        <w:t>».</w:t>
      </w:r>
    </w:p>
    <w:p w14:paraId="0A5207F4" w14:textId="03397448" w:rsidR="00EC5F37" w:rsidRPr="00C55B01" w:rsidRDefault="00D51C4F" w:rsidP="00D51C4F">
      <w:pPr>
        <w:jc w:val="center"/>
      </w:pPr>
      <w:r w:rsidRPr="00C55B01">
        <w:t xml:space="preserve">(ЛОТ № </w:t>
      </w:r>
      <w:r w:rsidR="00A069FF" w:rsidRPr="00A069FF">
        <w:t>91601-ТПИР ОБСЛ-2020-ДРСК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5F45F8">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5F45F8">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5F45F8">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5F45F8">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5F45F8">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5F45F8">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5F45F8">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5F45F8">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5F45F8">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5F45F8">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5F45F8">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5F45F8">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5F45F8">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5F45F8">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5F45F8">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5F45F8">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5F45F8">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5F45F8">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5F45F8">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5F45F8">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5F45F8">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5F45F8">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5F45F8">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5F45F8">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5F45F8">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5F45F8">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5F45F8">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5F45F8">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5F45F8">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5F45F8">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5F45F8">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5F45F8">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5F45F8">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5F45F8">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5F45F8">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5F45F8">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5F45F8">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5F45F8">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5F45F8">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5F45F8">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5F45F8">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5F45F8">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5F45F8">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5F45F8">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5F45F8">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5F45F8">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5F45F8">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5F45F8">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5F45F8">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5F45F8">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5F45F8">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5F45F8">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5F45F8">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5F45F8">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5F45F8">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5F45F8">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5F45F8">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5F45F8">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5F45F8">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5F45F8">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5F45F8">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5F45F8">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5F45F8">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5F45F8">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5F45F8">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5F45F8">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5F45F8">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5F45F8">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5F45F8">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5F45F8">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5F45F8">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5F45F8">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5F45F8">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5F45F8">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5F45F8">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5F45F8">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5F45F8">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5F45F8">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5F45F8">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5F45F8">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5F45F8">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5F45F8">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5F45F8">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5F45F8">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5F45F8">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5F45F8">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5F45F8">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5F45F8">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5F45F8">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5F45F8">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5F45F8">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5F45F8">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5F45F8">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5F45F8">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5F45F8">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5F45F8">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5F45F8">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5F45F8">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5F45F8">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5F45F8">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5F45F8">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5F45F8">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5F45F8">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5F45F8">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5F45F8">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5F45F8">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5F45F8">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5F45F8">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5F45F8">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5F45F8">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5F45F8">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5F45F8">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5F45F8">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5F45F8">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5F45F8">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5F45F8">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5F45F8">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5F45F8">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7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71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7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534982719"/>
      <w:r w:rsidRPr="00BA04C6">
        <w:rPr>
          <w:sz w:val="28"/>
        </w:rPr>
        <w:t>Статус настоящего раздела</w:t>
      </w:r>
      <w:bookmarkEnd w:id="38"/>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349827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4C24C145" w:rsidR="00BF2BEC" w:rsidRDefault="004010E6" w:rsidP="00BF2BEC">
            <w:pPr>
              <w:spacing w:after="120"/>
            </w:pPr>
            <w:r w:rsidRPr="008F4086">
              <w:t>Лот №</w:t>
            </w:r>
            <w:r w:rsidR="00BF2BEC">
              <w:t xml:space="preserve"> </w:t>
            </w:r>
            <w:r w:rsidR="00A069FF" w:rsidRPr="00A069FF">
              <w:t>91601-ТПИР ОБСЛ-2020-ДРСК</w:t>
            </w:r>
            <w:r w:rsidR="00BF2BEC">
              <w:t xml:space="preserve">: </w:t>
            </w:r>
          </w:p>
          <w:p w14:paraId="7E3C544F" w14:textId="4668E079" w:rsidR="004010E6" w:rsidRPr="00BA04C6" w:rsidRDefault="00BF2BEC" w:rsidP="00136C53">
            <w:pPr>
              <w:spacing w:after="120"/>
              <w:rPr>
                <w:rStyle w:val="af8"/>
                <w:b w:val="0"/>
                <w:snapToGrid/>
              </w:rPr>
            </w:pPr>
            <w:r w:rsidRPr="00B01497">
              <w:rPr>
                <w:b/>
                <w:i/>
              </w:rPr>
              <w:t>«</w:t>
            </w:r>
            <w:r w:rsidR="00A069FF" w:rsidRPr="00A069FF">
              <w:rPr>
                <w:b/>
                <w:i/>
              </w:rPr>
              <w:t>Устройство релейной защиты и телемеханики встроенной ТП 10/0,4 кВ на объекте "Административное здание АО "ДРСК" в 34 квартале г. Благовещенска</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AF6AE8" w14:textId="77777777" w:rsidR="00CF3DAB" w:rsidRPr="00CD4D93" w:rsidRDefault="00CF3DAB" w:rsidP="00CF3DAB">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13A54F07" w:rsidR="00B6473B" w:rsidRPr="00B6473B" w:rsidRDefault="00CF3DAB" w:rsidP="00CF3DAB">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34E96F"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EEC213E"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3C3F9CE"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5302BD"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6B9D019F" w:rsidR="004D2BE5" w:rsidRPr="00970AF4" w:rsidRDefault="00CF3DAB" w:rsidP="00CF3DA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E7E286"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5EA2331"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3254F9F3"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105AF88"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522B9620" w:rsidR="004D2BE5" w:rsidRPr="00BA04C6" w:rsidRDefault="00CF3DAB" w:rsidP="00CF3DA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CE55693" w:rsidR="00D11474" w:rsidRPr="00BA04C6" w:rsidRDefault="004D2BE5" w:rsidP="007754ED">
            <w:pPr>
              <w:rPr>
                <w:rStyle w:val="af8"/>
                <w:b w:val="0"/>
                <w:snapToGrid/>
              </w:rPr>
            </w:pPr>
            <w:r>
              <w:rPr>
                <w:b/>
                <w:i/>
              </w:rPr>
              <w:t xml:space="preserve">  </w:t>
            </w:r>
            <w:r w:rsidR="007754ED">
              <w:rPr>
                <w:b/>
                <w:i/>
              </w:rPr>
              <w:t>06.03</w:t>
            </w:r>
            <w:r w:rsidRPr="005617BD">
              <w:rPr>
                <w:b/>
                <w:i/>
              </w:rPr>
              <w:t>.20</w:t>
            </w:r>
            <w:r w:rsidR="00505C57">
              <w:rPr>
                <w:b/>
                <w:i/>
              </w:rPr>
              <w:t>20</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4481BF4" w:rsidR="008B0993" w:rsidRPr="008B0993" w:rsidRDefault="008B0993" w:rsidP="00510195">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10195" w:rsidRPr="00510195">
              <w:rPr>
                <w:rFonts w:ascii="Times New Roman" w:eastAsia="Times New Roman" w:hAnsi="Times New Roman"/>
                <w:b/>
                <w:i/>
                <w:noProof w:val="0"/>
                <w:snapToGrid w:val="0"/>
                <w:sz w:val="26"/>
                <w:lang w:eastAsia="ru-RU"/>
              </w:rPr>
              <w:t>2 663 271.00</w:t>
            </w:r>
            <w:r w:rsidR="000505DD">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0D726F6B" w:rsidR="003135AF" w:rsidRPr="00D241CE" w:rsidRDefault="00DD2FCE" w:rsidP="00C1003A">
            <w:pPr>
              <w:tabs>
                <w:tab w:val="left" w:pos="426"/>
              </w:tabs>
              <w:spacing w:after="120"/>
              <w:rPr>
                <w:rFonts w:eastAsia="Lucida Sans Unicode"/>
                <w:b/>
                <w:i/>
                <w:kern w:val="1"/>
                <w:shd w:val="clear" w:color="auto" w:fill="FFFF99"/>
              </w:rPr>
            </w:pPr>
            <w:r w:rsidRPr="00B6464E">
              <w:rPr>
                <w:szCs w:val="28"/>
              </w:rPr>
              <w:t xml:space="preserve"> </w:t>
            </w:r>
            <w:r w:rsidR="00C1003A">
              <w:rPr>
                <w:szCs w:val="28"/>
              </w:rPr>
              <w:t>13 316,36</w:t>
            </w:r>
            <w:r w:rsidR="000C78B1">
              <w:rPr>
                <w:szCs w:val="28"/>
              </w:rPr>
              <w:t xml:space="preserve"> руб.</w:t>
            </w:r>
            <w:r w:rsidRPr="00B6464E">
              <w:rPr>
                <w:szCs w:val="28"/>
              </w:rPr>
              <w:t xml:space="preserve"> – </w:t>
            </w:r>
            <w:r w:rsidR="00C1003A">
              <w:rPr>
                <w:szCs w:val="28"/>
              </w:rPr>
              <w:t>133 163,55</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2E063D6" w:rsidR="00D11474" w:rsidRDefault="00D11474" w:rsidP="003A4D98">
            <w:pPr>
              <w:pStyle w:val="Tabletext"/>
              <w:spacing w:after="120"/>
              <w:rPr>
                <w:i/>
                <w:snapToGrid w:val="0"/>
                <w:sz w:val="26"/>
                <w:szCs w:val="26"/>
                <w:shd w:val="clear" w:color="auto" w:fill="FFFF99"/>
              </w:rPr>
            </w:pPr>
            <w:r w:rsidRPr="00900563">
              <w:rPr>
                <w:b/>
                <w:i/>
                <w:sz w:val="26"/>
                <w:szCs w:val="26"/>
              </w:rPr>
              <w:t>«</w:t>
            </w:r>
            <w:r w:rsidR="00C1003A">
              <w:rPr>
                <w:b/>
                <w:i/>
                <w:sz w:val="26"/>
                <w:szCs w:val="26"/>
              </w:rPr>
              <w:t>23</w:t>
            </w:r>
            <w:r w:rsidRPr="00900563">
              <w:rPr>
                <w:b/>
                <w:i/>
                <w:sz w:val="26"/>
                <w:szCs w:val="26"/>
              </w:rPr>
              <w:t xml:space="preserve">» </w:t>
            </w:r>
            <w:r w:rsidR="00C1003A">
              <w:rPr>
                <w:b/>
                <w:i/>
                <w:sz w:val="26"/>
                <w:szCs w:val="26"/>
              </w:rPr>
              <w:t>марта</w:t>
            </w:r>
            <w:r w:rsidR="001E59EA" w:rsidRPr="00900563">
              <w:rPr>
                <w:b/>
                <w:i/>
                <w:sz w:val="26"/>
                <w:szCs w:val="26"/>
              </w:rPr>
              <w:t xml:space="preserve"> 20</w:t>
            </w:r>
            <w:r w:rsidR="00900563" w:rsidRPr="00900563">
              <w:rPr>
                <w:b/>
                <w:i/>
                <w:sz w:val="26"/>
                <w:szCs w:val="26"/>
              </w:rPr>
              <w:t>20</w:t>
            </w:r>
            <w:r w:rsidRPr="00900563">
              <w:rPr>
                <w:b/>
                <w:i/>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r w:rsidR="00900563" w:rsidRPr="001E59EA">
              <w:rPr>
                <w:snapToGrid w:val="0"/>
                <w:sz w:val="26"/>
                <w:szCs w:val="26"/>
              </w:rPr>
              <w:t>(</w:t>
            </w:r>
            <w:r w:rsidR="00900563" w:rsidRPr="001E59EA">
              <w:rPr>
                <w:sz w:val="26"/>
                <w:szCs w:val="26"/>
              </w:rPr>
              <w:t>по московскому времени</w:t>
            </w:r>
            <w:r w:rsidR="00900563" w:rsidRPr="001E59EA">
              <w:rPr>
                <w:snapToGrid w:val="0"/>
                <w:sz w:val="26"/>
                <w:szCs w:val="26"/>
              </w:rPr>
              <w:t>)</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BA36C03" w:rsidR="006058D6" w:rsidRPr="001E59EA" w:rsidRDefault="00DE13F8" w:rsidP="006058D6">
            <w:pPr>
              <w:spacing w:after="120"/>
              <w:rPr>
                <w:b/>
                <w:i/>
              </w:rPr>
            </w:pPr>
            <w:r w:rsidRPr="00ED36A9">
              <w:rPr>
                <w:b/>
                <w:i/>
                <w:snapToGrid/>
              </w:rPr>
              <w:t>«</w:t>
            </w:r>
            <w:r w:rsidR="00C1003A">
              <w:rPr>
                <w:b/>
                <w:i/>
                <w:snapToGrid/>
              </w:rPr>
              <w:t>06</w:t>
            </w:r>
            <w:r w:rsidRPr="00ED36A9">
              <w:rPr>
                <w:b/>
                <w:i/>
                <w:snapToGrid/>
              </w:rPr>
              <w:t xml:space="preserve">» </w:t>
            </w:r>
            <w:r w:rsidR="00C1003A">
              <w:rPr>
                <w:b/>
                <w:i/>
                <w:snapToGrid/>
              </w:rPr>
              <w:t>марта</w:t>
            </w:r>
            <w:r w:rsidRPr="00ED36A9">
              <w:rPr>
                <w:b/>
                <w:i/>
                <w:snapToGrid/>
              </w:rPr>
              <w:t xml:space="preserve"> 2020 </w:t>
            </w:r>
            <w:r w:rsidR="006058D6"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7E34E74" w:rsidR="00D11474" w:rsidRPr="003A4D98" w:rsidRDefault="00DE13F8" w:rsidP="00C1003A">
            <w:pPr>
              <w:pStyle w:val="Tabletext"/>
              <w:spacing w:after="120"/>
              <w:rPr>
                <w:rStyle w:val="af8"/>
                <w:b w:val="0"/>
                <w:i w:val="0"/>
                <w:snapToGrid w:val="0"/>
                <w:sz w:val="26"/>
                <w:szCs w:val="26"/>
                <w:shd w:val="clear" w:color="auto" w:fill="auto"/>
              </w:rPr>
            </w:pPr>
            <w:r w:rsidRPr="00DE13F8">
              <w:rPr>
                <w:b/>
                <w:i/>
                <w:sz w:val="26"/>
                <w:szCs w:val="26"/>
              </w:rPr>
              <w:t>«</w:t>
            </w:r>
            <w:r w:rsidR="00C1003A">
              <w:rPr>
                <w:b/>
                <w:i/>
                <w:sz w:val="26"/>
                <w:szCs w:val="26"/>
              </w:rPr>
              <w:t>23</w:t>
            </w:r>
            <w:r w:rsidRPr="00DE13F8">
              <w:rPr>
                <w:b/>
                <w:i/>
                <w:sz w:val="26"/>
                <w:szCs w:val="26"/>
              </w:rPr>
              <w:t xml:space="preserve">» </w:t>
            </w:r>
            <w:r w:rsidR="00C1003A" w:rsidRPr="00C1003A">
              <w:rPr>
                <w:b/>
                <w:i/>
                <w:sz w:val="26"/>
                <w:szCs w:val="26"/>
              </w:rPr>
              <w:t>марта</w:t>
            </w:r>
            <w:r w:rsidRPr="00DE13F8">
              <w:rPr>
                <w:b/>
                <w:i/>
                <w:sz w:val="26"/>
                <w:szCs w:val="26"/>
              </w:rPr>
              <w:t xml:space="preserve"> 2020 г</w:t>
            </w:r>
            <w:r w:rsidR="006058D6" w:rsidRPr="00DE13F8">
              <w:rPr>
                <w:b/>
                <w:i/>
                <w:sz w:val="26"/>
                <w:szCs w:val="26"/>
              </w:rPr>
              <w:t>.</w:t>
            </w:r>
            <w:r w:rsidR="00D059F0" w:rsidRPr="00DE13F8">
              <w:rPr>
                <w:b/>
                <w:i/>
                <w:sz w:val="26"/>
                <w:szCs w:val="26"/>
              </w:rPr>
              <w:t xml:space="preserve"> </w:t>
            </w:r>
            <w:r w:rsidR="00D059F0" w:rsidRPr="001E59EA">
              <w:rPr>
                <w:b/>
                <w:i/>
                <w:sz w:val="26"/>
                <w:szCs w:val="26"/>
              </w:rPr>
              <w:t>в </w:t>
            </w:r>
            <w:r w:rsidR="001E59EA" w:rsidRPr="00DE13F8">
              <w:rPr>
                <w:b/>
                <w:i/>
                <w:sz w:val="26"/>
                <w:szCs w:val="26"/>
              </w:rPr>
              <w:t>09</w:t>
            </w:r>
            <w:r w:rsidR="00D059F0" w:rsidRPr="00DE13F8">
              <w:rPr>
                <w:b/>
                <w:i/>
                <w:sz w:val="26"/>
                <w:szCs w:val="26"/>
              </w:rPr>
              <w:t xml:space="preserve"> ч. </w:t>
            </w:r>
            <w:r w:rsidR="001E59EA"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1514225" w:rsidR="00D11474" w:rsidRPr="00BA04C6" w:rsidRDefault="00DE13F8" w:rsidP="00C1003A">
            <w:pPr>
              <w:pStyle w:val="Tabletext"/>
              <w:spacing w:after="120"/>
              <w:rPr>
                <w:sz w:val="26"/>
                <w:szCs w:val="26"/>
              </w:rPr>
            </w:pPr>
            <w:r w:rsidRPr="00DE13F8">
              <w:rPr>
                <w:b/>
                <w:i/>
                <w:sz w:val="26"/>
                <w:szCs w:val="26"/>
              </w:rPr>
              <w:t>«</w:t>
            </w:r>
            <w:r w:rsidR="00900563">
              <w:rPr>
                <w:b/>
                <w:i/>
                <w:sz w:val="26"/>
                <w:szCs w:val="26"/>
              </w:rPr>
              <w:t>13</w:t>
            </w:r>
            <w:r w:rsidRPr="00DE13F8">
              <w:rPr>
                <w:b/>
                <w:i/>
                <w:sz w:val="26"/>
                <w:szCs w:val="26"/>
              </w:rPr>
              <w:t xml:space="preserve">» </w:t>
            </w:r>
            <w:r w:rsidR="00C1003A">
              <w:rPr>
                <w:b/>
                <w:i/>
                <w:sz w:val="26"/>
                <w:szCs w:val="26"/>
              </w:rPr>
              <w:t>апреля</w:t>
            </w:r>
            <w:r w:rsidRPr="00DE13F8">
              <w:rPr>
                <w:b/>
                <w:i/>
                <w:sz w:val="26"/>
                <w:szCs w:val="26"/>
              </w:rPr>
              <w:t xml:space="preserve"> 2020 г </w:t>
            </w:r>
            <w:r w:rsidR="00AD5255" w:rsidRPr="00DE13F8">
              <w:rPr>
                <w:b/>
                <w:i/>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w:t>
            </w:r>
            <w:r>
              <w:rPr>
                <w:sz w:val="26"/>
                <w:szCs w:val="26"/>
              </w:rPr>
              <w:lastRenderedPageBreak/>
              <w:t>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613F5ACF" w:rsidR="00C23E4D" w:rsidRPr="00BA04C6" w:rsidRDefault="00DE13F8" w:rsidP="00C1003A">
            <w:pPr>
              <w:spacing w:after="120"/>
            </w:pPr>
            <w:r w:rsidRPr="00DE13F8">
              <w:rPr>
                <w:b/>
                <w:i/>
                <w:snapToGrid/>
              </w:rPr>
              <w:lastRenderedPageBreak/>
              <w:t>«</w:t>
            </w:r>
            <w:r w:rsidR="00900563">
              <w:rPr>
                <w:b/>
                <w:i/>
                <w:snapToGrid/>
              </w:rPr>
              <w:t>1</w:t>
            </w:r>
            <w:r w:rsidR="00C1003A">
              <w:rPr>
                <w:b/>
                <w:i/>
                <w:snapToGrid/>
              </w:rPr>
              <w:t>5</w:t>
            </w:r>
            <w:r w:rsidRPr="00DE13F8">
              <w:rPr>
                <w:b/>
                <w:i/>
                <w:snapToGrid/>
              </w:rPr>
              <w:t xml:space="preserve">» </w:t>
            </w:r>
            <w:r w:rsidR="00C1003A">
              <w:rPr>
                <w:b/>
                <w:i/>
              </w:rPr>
              <w:t>апреля</w:t>
            </w:r>
            <w:r w:rsidRPr="00DE13F8">
              <w:rPr>
                <w:b/>
                <w:i/>
                <w:snapToGrid/>
              </w:rPr>
              <w:t xml:space="preserve"> 2020</w:t>
            </w:r>
            <w:r w:rsidR="000B5CF3" w:rsidRPr="00AD5255">
              <w:t xml:space="preserve"> </w:t>
            </w:r>
            <w:r w:rsidR="000B5CF3" w:rsidRPr="000B5CF3">
              <w:rPr>
                <w:b/>
                <w:i/>
              </w:rPr>
              <w:t>г.</w:t>
            </w:r>
            <w:r w:rsidR="000B5CF3" w:rsidRPr="00AD5255">
              <w:t xml:space="preserve"> </w:t>
            </w:r>
            <w:r w:rsidR="00C23E4D" w:rsidRPr="00853A6E">
              <w:t xml:space="preserve"> </w:t>
            </w:r>
            <w:r w:rsidR="00C23E4D" w:rsidRPr="000B5CF3">
              <w:rPr>
                <w:b/>
                <w:i/>
              </w:rPr>
              <w:t>в </w:t>
            </w:r>
            <w:r w:rsidR="000B5CF3" w:rsidRPr="000B5CF3">
              <w:rPr>
                <w:b/>
                <w:i/>
              </w:rPr>
              <w:t>09</w:t>
            </w:r>
            <w:r w:rsidR="00C23E4D" w:rsidRPr="000B5CF3">
              <w:rPr>
                <w:b/>
                <w:i/>
              </w:rPr>
              <w:t xml:space="preserve"> ч. </w:t>
            </w:r>
            <w:r w:rsidR="000B5CF3" w:rsidRPr="000B5CF3">
              <w:rPr>
                <w:b/>
                <w:i/>
              </w:rPr>
              <w:t>00</w:t>
            </w:r>
            <w:r w:rsidR="00C23E4D" w:rsidRPr="000B5CF3">
              <w:rPr>
                <w:b/>
                <w:i/>
              </w:rPr>
              <w:t xml:space="preserve"> мин</w:t>
            </w:r>
            <w:r w:rsidR="00C23E4D" w:rsidRPr="00853A6E">
              <w:t xml:space="preserve">.  (по московскому 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636018E5" w:rsidR="00D11474" w:rsidRPr="007B0C48" w:rsidRDefault="00DE13F8" w:rsidP="00C1003A">
            <w:pPr>
              <w:pStyle w:val="Tabletext"/>
              <w:rPr>
                <w:i/>
                <w:snapToGrid w:val="0"/>
                <w:sz w:val="26"/>
                <w:szCs w:val="26"/>
                <w:shd w:val="clear" w:color="auto" w:fill="FFFF99"/>
              </w:rPr>
            </w:pPr>
            <w:r w:rsidRPr="00DE13F8">
              <w:rPr>
                <w:b/>
                <w:i/>
                <w:sz w:val="26"/>
                <w:szCs w:val="26"/>
              </w:rPr>
              <w:t>«</w:t>
            </w:r>
            <w:r w:rsidR="00900563">
              <w:rPr>
                <w:b/>
                <w:i/>
                <w:sz w:val="26"/>
                <w:szCs w:val="26"/>
              </w:rPr>
              <w:t>2</w:t>
            </w:r>
            <w:r w:rsidR="00C1003A">
              <w:rPr>
                <w:b/>
                <w:i/>
                <w:sz w:val="26"/>
                <w:szCs w:val="26"/>
              </w:rPr>
              <w:t>2</w:t>
            </w:r>
            <w:r w:rsidRPr="00DE13F8">
              <w:rPr>
                <w:b/>
                <w:i/>
                <w:sz w:val="26"/>
                <w:szCs w:val="26"/>
              </w:rPr>
              <w:t xml:space="preserve">» </w:t>
            </w:r>
            <w:r w:rsidR="00C1003A">
              <w:rPr>
                <w:b/>
                <w:i/>
                <w:sz w:val="26"/>
                <w:szCs w:val="26"/>
              </w:rPr>
              <w:t>апреля</w:t>
            </w:r>
            <w:r w:rsidRPr="00DE13F8">
              <w:rPr>
                <w:b/>
                <w:i/>
                <w:sz w:val="26"/>
                <w:szCs w:val="26"/>
              </w:rPr>
              <w:t xml:space="preserve"> 2020</w:t>
            </w:r>
            <w:r w:rsidR="000B5CF3" w:rsidRPr="00205602">
              <w:rPr>
                <w:b/>
                <w:i/>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429DB5A6" w14:textId="67BF73A0" w:rsidR="000A7EA4" w:rsidRPr="00CC6E4B" w:rsidRDefault="00A069FF" w:rsidP="000A7EA4">
            <w:pPr>
              <w:tabs>
                <w:tab w:val="left" w:pos="540"/>
                <w:tab w:val="left" w:pos="567"/>
              </w:tabs>
            </w:pPr>
            <w:r>
              <w:t>П</w:t>
            </w:r>
            <w:r w:rsidR="00DE13F8">
              <w:t>редусмотрено</w:t>
            </w:r>
          </w:p>
          <w:p w14:paraId="0B75873B" w14:textId="2E467568" w:rsidR="00724896" w:rsidRPr="00BA04C6" w:rsidRDefault="00724896" w:rsidP="000B5CF3">
            <w:pPr>
              <w:pStyle w:val="Tabletext"/>
              <w:rPr>
                <w:sz w:val="26"/>
                <w:szCs w:val="26"/>
              </w:rPr>
            </w:pP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5C711" w14:textId="77777777" w:rsidR="00CF3DAB" w:rsidRPr="00B541CB" w:rsidRDefault="00CF3DAB" w:rsidP="00CF3DA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9A2B6EF" w14:textId="77777777" w:rsidR="00CF3DAB" w:rsidRDefault="00CF3DAB" w:rsidP="00CF3DA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250CDE9" w:rsidR="004B5506" w:rsidRPr="00111A7E" w:rsidRDefault="00CF3DAB" w:rsidP="00CF3DA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r>
        <w:rPr>
          <w:sz w:val="28"/>
        </w:rPr>
        <w:t>Многолотовая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2C3A01">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2C3A01">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2C3A01">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2C3A01">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2C3A01">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2C3A01">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2C3A01">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2C3A0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2C3A0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2C3A01">
            <w:pPr>
              <w:spacing w:before="0"/>
              <w:jc w:val="left"/>
              <w:rPr>
                <w:b/>
                <w:bCs/>
                <w:sz w:val="20"/>
              </w:rPr>
            </w:pPr>
          </w:p>
        </w:tc>
      </w:tr>
      <w:tr w:rsidR="004D44AB" w14:paraId="5EB7651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2C3A01">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2C3A01">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2C3A01">
            <w:pPr>
              <w:spacing w:before="0"/>
              <w:jc w:val="center"/>
              <w:rPr>
                <w:b/>
                <w:bCs/>
                <w:sz w:val="24"/>
                <w:szCs w:val="24"/>
              </w:rPr>
            </w:pPr>
            <w:r>
              <w:rPr>
                <w:b/>
                <w:bCs/>
                <w:sz w:val="24"/>
                <w:szCs w:val="24"/>
              </w:rPr>
              <w:t>--</w:t>
            </w:r>
          </w:p>
        </w:tc>
      </w:tr>
      <w:tr w:rsidR="004D44AB" w14:paraId="7FB8C758"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2C3A01">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2C3A01">
            <w:pPr>
              <w:spacing w:before="0"/>
              <w:jc w:val="center"/>
              <w:rPr>
                <w:b/>
                <w:bCs/>
                <w:sz w:val="24"/>
                <w:szCs w:val="24"/>
              </w:rPr>
            </w:pPr>
            <w:r>
              <w:rPr>
                <w:b/>
                <w:bCs/>
                <w:sz w:val="24"/>
                <w:szCs w:val="24"/>
              </w:rPr>
              <w:t>Орг</w:t>
            </w:r>
          </w:p>
        </w:tc>
      </w:tr>
      <w:tr w:rsidR="004D44AB" w14:paraId="1E7C57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2C3A01">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2C3A01">
            <w:pPr>
              <w:spacing w:before="0"/>
              <w:jc w:val="center"/>
              <w:rPr>
                <w:b/>
                <w:bCs/>
                <w:sz w:val="24"/>
                <w:szCs w:val="24"/>
              </w:rPr>
            </w:pPr>
            <w:r>
              <w:rPr>
                <w:b/>
                <w:bCs/>
                <w:sz w:val="24"/>
                <w:szCs w:val="24"/>
              </w:rPr>
              <w:t>Орг</w:t>
            </w:r>
          </w:p>
        </w:tc>
      </w:tr>
      <w:tr w:rsidR="004D44AB" w14:paraId="66F71BE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2C3A01">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2C3A01">
            <w:pPr>
              <w:spacing w:before="0"/>
              <w:jc w:val="center"/>
              <w:rPr>
                <w:b/>
                <w:bCs/>
                <w:sz w:val="24"/>
                <w:szCs w:val="24"/>
              </w:rPr>
            </w:pPr>
            <w:r>
              <w:rPr>
                <w:b/>
                <w:bCs/>
                <w:sz w:val="24"/>
                <w:szCs w:val="24"/>
              </w:rPr>
              <w:t>Орг</w:t>
            </w:r>
          </w:p>
        </w:tc>
      </w:tr>
      <w:tr w:rsidR="004D44AB" w14:paraId="189625B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2C3A01">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2C3A01">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2C3A01">
            <w:pPr>
              <w:spacing w:before="0"/>
              <w:jc w:val="center"/>
              <w:rPr>
                <w:b/>
                <w:bCs/>
                <w:sz w:val="24"/>
                <w:szCs w:val="24"/>
              </w:rPr>
            </w:pPr>
            <w:r w:rsidRPr="00AD2489">
              <w:rPr>
                <w:b/>
                <w:bCs/>
                <w:sz w:val="24"/>
                <w:szCs w:val="24"/>
              </w:rPr>
              <w:t>Орг, Тех, Бзп, Цена</w:t>
            </w:r>
          </w:p>
        </w:tc>
      </w:tr>
      <w:tr w:rsidR="004D44AB" w14:paraId="0AC6A38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2C3A01">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2C3A01">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2C3A01">
            <w:pPr>
              <w:spacing w:before="0"/>
              <w:jc w:val="center"/>
              <w:rPr>
                <w:b/>
                <w:bCs/>
                <w:sz w:val="24"/>
                <w:szCs w:val="24"/>
              </w:rPr>
            </w:pPr>
            <w:r>
              <w:rPr>
                <w:b/>
                <w:bCs/>
                <w:sz w:val="24"/>
                <w:szCs w:val="24"/>
              </w:rPr>
              <w:t>--</w:t>
            </w:r>
          </w:p>
        </w:tc>
      </w:tr>
      <w:tr w:rsidR="004D44AB" w14:paraId="12A9E88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2C3A01">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2C3A01">
            <w:pPr>
              <w:spacing w:before="0"/>
              <w:jc w:val="center"/>
              <w:rPr>
                <w:b/>
                <w:bCs/>
                <w:sz w:val="24"/>
                <w:szCs w:val="24"/>
              </w:rPr>
            </w:pPr>
            <w:r>
              <w:rPr>
                <w:b/>
                <w:bCs/>
                <w:sz w:val="24"/>
                <w:szCs w:val="24"/>
              </w:rPr>
              <w:t>Орг</w:t>
            </w:r>
          </w:p>
        </w:tc>
      </w:tr>
      <w:tr w:rsidR="004D44AB" w14:paraId="24766753"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2C3A01">
            <w:pPr>
              <w:spacing w:before="0"/>
              <w:jc w:val="center"/>
              <w:rPr>
                <w:b/>
                <w:bCs/>
                <w:sz w:val="24"/>
                <w:szCs w:val="24"/>
              </w:rPr>
            </w:pPr>
            <w:r>
              <w:rPr>
                <w:b/>
                <w:bCs/>
                <w:sz w:val="24"/>
                <w:szCs w:val="24"/>
              </w:rPr>
              <w:t>Бзп</w:t>
            </w:r>
          </w:p>
        </w:tc>
      </w:tr>
      <w:tr w:rsidR="004D44AB" w14:paraId="19B82A2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2C3A01">
            <w:pPr>
              <w:spacing w:before="0"/>
              <w:jc w:val="center"/>
              <w:rPr>
                <w:b/>
                <w:bCs/>
                <w:sz w:val="24"/>
                <w:szCs w:val="24"/>
              </w:rPr>
            </w:pPr>
            <w:r>
              <w:rPr>
                <w:b/>
                <w:bCs/>
                <w:sz w:val="24"/>
                <w:szCs w:val="24"/>
              </w:rPr>
              <w:t>Тех</w:t>
            </w:r>
          </w:p>
        </w:tc>
      </w:tr>
      <w:tr w:rsidR="004D44AB" w14:paraId="074C03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2C3A01">
            <w:pPr>
              <w:spacing w:before="0"/>
              <w:jc w:val="center"/>
              <w:rPr>
                <w:b/>
                <w:bCs/>
                <w:sz w:val="24"/>
                <w:szCs w:val="24"/>
              </w:rPr>
            </w:pPr>
            <w:r>
              <w:rPr>
                <w:b/>
                <w:bCs/>
                <w:sz w:val="24"/>
                <w:szCs w:val="24"/>
              </w:rPr>
              <w:t>Тех</w:t>
            </w:r>
          </w:p>
        </w:tc>
      </w:tr>
      <w:tr w:rsidR="004D44AB" w14:paraId="1977242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2C3A01">
            <w:pPr>
              <w:spacing w:before="0"/>
              <w:jc w:val="center"/>
              <w:rPr>
                <w:b/>
                <w:bCs/>
                <w:sz w:val="24"/>
                <w:szCs w:val="24"/>
              </w:rPr>
            </w:pPr>
            <w:r>
              <w:rPr>
                <w:b/>
                <w:bCs/>
                <w:sz w:val="24"/>
                <w:szCs w:val="24"/>
              </w:rPr>
              <w:t>--</w:t>
            </w:r>
          </w:p>
        </w:tc>
      </w:tr>
      <w:tr w:rsidR="004D44AB" w14:paraId="4EC387B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2C3A01">
            <w:pPr>
              <w:spacing w:before="0"/>
              <w:jc w:val="center"/>
              <w:rPr>
                <w:b/>
                <w:bCs/>
                <w:sz w:val="24"/>
                <w:szCs w:val="24"/>
              </w:rPr>
            </w:pPr>
            <w:r>
              <w:rPr>
                <w:b/>
                <w:bCs/>
                <w:sz w:val="24"/>
                <w:szCs w:val="24"/>
              </w:rPr>
              <w:t>Тех</w:t>
            </w:r>
          </w:p>
        </w:tc>
      </w:tr>
      <w:tr w:rsidR="004D44AB" w14:paraId="4FC22D8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2C3A01">
            <w:pPr>
              <w:spacing w:before="0"/>
              <w:jc w:val="center"/>
              <w:rPr>
                <w:b/>
                <w:bCs/>
                <w:sz w:val="24"/>
                <w:szCs w:val="24"/>
              </w:rPr>
            </w:pPr>
            <w:r>
              <w:rPr>
                <w:b/>
                <w:bCs/>
                <w:sz w:val="24"/>
                <w:szCs w:val="24"/>
              </w:rPr>
              <w:t>Тех</w:t>
            </w:r>
          </w:p>
        </w:tc>
      </w:tr>
      <w:tr w:rsidR="004D44AB" w14:paraId="144996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2C3A01">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2C3A01">
            <w:pPr>
              <w:spacing w:before="0"/>
              <w:jc w:val="center"/>
              <w:rPr>
                <w:b/>
                <w:bCs/>
                <w:sz w:val="24"/>
                <w:szCs w:val="24"/>
              </w:rPr>
            </w:pPr>
            <w:r>
              <w:rPr>
                <w:b/>
                <w:bCs/>
                <w:sz w:val="24"/>
                <w:szCs w:val="24"/>
              </w:rPr>
              <w:t>Тех, Бзп</w:t>
            </w:r>
          </w:p>
        </w:tc>
      </w:tr>
      <w:tr w:rsidR="004D44AB" w14:paraId="19FB5F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2C3A01">
            <w:pPr>
              <w:spacing w:before="0"/>
              <w:jc w:val="center"/>
              <w:rPr>
                <w:b/>
                <w:bCs/>
                <w:sz w:val="24"/>
                <w:szCs w:val="24"/>
              </w:rPr>
            </w:pPr>
            <w:r>
              <w:rPr>
                <w:b/>
                <w:bCs/>
                <w:sz w:val="24"/>
                <w:szCs w:val="24"/>
              </w:rPr>
              <w:t>--</w:t>
            </w:r>
          </w:p>
        </w:tc>
      </w:tr>
      <w:tr w:rsidR="004D44AB" w14:paraId="54759D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2C3A0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2C3A01">
            <w:pPr>
              <w:spacing w:before="0"/>
              <w:jc w:val="center"/>
              <w:rPr>
                <w:b/>
                <w:bCs/>
                <w:sz w:val="24"/>
                <w:szCs w:val="24"/>
              </w:rPr>
            </w:pPr>
            <w:r>
              <w:rPr>
                <w:b/>
                <w:bCs/>
                <w:sz w:val="24"/>
                <w:szCs w:val="24"/>
              </w:rPr>
              <w:t>Тех</w:t>
            </w:r>
          </w:p>
        </w:tc>
      </w:tr>
      <w:tr w:rsidR="004D44AB" w14:paraId="1CA597F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2C3A01">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2C3A01">
            <w:pPr>
              <w:spacing w:before="0"/>
              <w:jc w:val="center"/>
              <w:rPr>
                <w:b/>
                <w:bCs/>
                <w:sz w:val="24"/>
                <w:szCs w:val="24"/>
              </w:rPr>
            </w:pPr>
            <w:r>
              <w:rPr>
                <w:b/>
                <w:bCs/>
                <w:sz w:val="24"/>
                <w:szCs w:val="24"/>
              </w:rPr>
              <w:t>Тех, Бзп</w:t>
            </w:r>
          </w:p>
        </w:tc>
      </w:tr>
      <w:tr w:rsidR="004D44AB" w14:paraId="722657A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2C3A01">
            <w:pPr>
              <w:spacing w:before="0"/>
              <w:jc w:val="center"/>
              <w:rPr>
                <w:b/>
                <w:bCs/>
                <w:sz w:val="24"/>
                <w:szCs w:val="24"/>
              </w:rPr>
            </w:pPr>
            <w:r>
              <w:rPr>
                <w:b/>
                <w:bCs/>
                <w:sz w:val="24"/>
                <w:szCs w:val="24"/>
              </w:rPr>
              <w:t>Орг</w:t>
            </w:r>
          </w:p>
        </w:tc>
      </w:tr>
      <w:tr w:rsidR="004D44AB" w14:paraId="1977322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2C3A01">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2C3A01">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2C3A01">
            <w:pPr>
              <w:spacing w:before="0"/>
              <w:jc w:val="center"/>
              <w:rPr>
                <w:b/>
                <w:bCs/>
                <w:sz w:val="24"/>
                <w:szCs w:val="24"/>
              </w:rPr>
            </w:pPr>
            <w:r>
              <w:rPr>
                <w:b/>
                <w:bCs/>
                <w:sz w:val="24"/>
                <w:szCs w:val="24"/>
              </w:rPr>
              <w:t>--</w:t>
            </w:r>
          </w:p>
        </w:tc>
      </w:tr>
      <w:tr w:rsidR="004D44AB" w14:paraId="4901BEF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2C3A01">
            <w:pPr>
              <w:spacing w:before="0"/>
              <w:jc w:val="center"/>
              <w:rPr>
                <w:b/>
                <w:bCs/>
                <w:sz w:val="24"/>
                <w:szCs w:val="24"/>
              </w:rPr>
            </w:pPr>
            <w:r>
              <w:rPr>
                <w:b/>
                <w:bCs/>
                <w:sz w:val="24"/>
                <w:szCs w:val="24"/>
              </w:rPr>
              <w:t>Тех</w:t>
            </w:r>
          </w:p>
        </w:tc>
      </w:tr>
      <w:tr w:rsidR="004D44AB" w14:paraId="530F5B2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2C3A01">
            <w:pPr>
              <w:spacing w:before="0"/>
              <w:jc w:val="center"/>
              <w:rPr>
                <w:b/>
                <w:bCs/>
                <w:sz w:val="24"/>
                <w:szCs w:val="24"/>
              </w:rPr>
            </w:pPr>
            <w:r>
              <w:rPr>
                <w:b/>
                <w:bCs/>
                <w:sz w:val="24"/>
                <w:szCs w:val="24"/>
              </w:rPr>
              <w:t>Тех</w:t>
            </w:r>
          </w:p>
        </w:tc>
      </w:tr>
      <w:tr w:rsidR="004D44AB" w14:paraId="7166140B" w14:textId="77777777" w:rsidTr="002C3A01">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2C3A01">
            <w:pPr>
              <w:spacing w:before="0"/>
              <w:jc w:val="center"/>
              <w:rPr>
                <w:b/>
                <w:bCs/>
                <w:sz w:val="24"/>
                <w:szCs w:val="24"/>
              </w:rPr>
            </w:pPr>
            <w:r>
              <w:rPr>
                <w:b/>
                <w:bCs/>
                <w:sz w:val="24"/>
                <w:szCs w:val="24"/>
              </w:rPr>
              <w:t>Тех</w:t>
            </w:r>
          </w:p>
        </w:tc>
      </w:tr>
      <w:tr w:rsidR="004D44AB" w14:paraId="7B4F5EB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2C3A01">
            <w:pPr>
              <w:spacing w:before="0"/>
              <w:jc w:val="center"/>
              <w:rPr>
                <w:b/>
                <w:bCs/>
                <w:sz w:val="24"/>
                <w:szCs w:val="24"/>
              </w:rPr>
            </w:pPr>
            <w:r>
              <w:rPr>
                <w:b/>
                <w:bCs/>
                <w:sz w:val="24"/>
                <w:szCs w:val="24"/>
              </w:rPr>
              <w:t>Тех</w:t>
            </w:r>
          </w:p>
        </w:tc>
      </w:tr>
      <w:tr w:rsidR="004D44AB" w14:paraId="6217EBA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2C3A01">
            <w:pPr>
              <w:spacing w:before="0"/>
              <w:jc w:val="center"/>
              <w:rPr>
                <w:b/>
                <w:bCs/>
                <w:sz w:val="24"/>
                <w:szCs w:val="24"/>
              </w:rPr>
            </w:pPr>
            <w:r>
              <w:rPr>
                <w:b/>
                <w:bCs/>
                <w:sz w:val="24"/>
                <w:szCs w:val="24"/>
              </w:rPr>
              <w:t>Тех</w:t>
            </w:r>
          </w:p>
        </w:tc>
      </w:tr>
      <w:tr w:rsidR="004D44AB" w14:paraId="3236B6C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2C3A01">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2C3A01">
            <w:pPr>
              <w:spacing w:before="0"/>
              <w:jc w:val="center"/>
              <w:rPr>
                <w:b/>
                <w:bCs/>
                <w:sz w:val="24"/>
                <w:szCs w:val="24"/>
              </w:rPr>
            </w:pPr>
            <w:r>
              <w:rPr>
                <w:b/>
                <w:bCs/>
                <w:sz w:val="24"/>
                <w:szCs w:val="24"/>
              </w:rPr>
              <w:t>--</w:t>
            </w:r>
          </w:p>
        </w:tc>
      </w:tr>
      <w:tr w:rsidR="004D44AB" w14:paraId="6D26635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2C3A01">
            <w:pPr>
              <w:spacing w:before="0"/>
              <w:jc w:val="center"/>
              <w:rPr>
                <w:b/>
                <w:bCs/>
                <w:sz w:val="24"/>
                <w:szCs w:val="24"/>
              </w:rPr>
            </w:pPr>
            <w:r>
              <w:rPr>
                <w:b/>
                <w:bCs/>
                <w:sz w:val="24"/>
                <w:szCs w:val="24"/>
              </w:rPr>
              <w:t>Цена</w:t>
            </w:r>
          </w:p>
        </w:tc>
      </w:tr>
      <w:tr w:rsidR="004D44AB" w14:paraId="02B305A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2C3A01">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52B7CC7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281A587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2C3A01">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2C3A01">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2C3A01">
            <w:pPr>
              <w:spacing w:before="0"/>
              <w:jc w:val="center"/>
              <w:rPr>
                <w:b/>
                <w:bCs/>
                <w:sz w:val="24"/>
                <w:szCs w:val="24"/>
              </w:rPr>
            </w:pPr>
            <w:r>
              <w:rPr>
                <w:b/>
                <w:bCs/>
                <w:sz w:val="24"/>
                <w:szCs w:val="24"/>
              </w:rPr>
              <w:t>--</w:t>
            </w:r>
          </w:p>
        </w:tc>
      </w:tr>
      <w:tr w:rsidR="004D44AB" w14:paraId="3C60E94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2C3A01">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2C3A01">
            <w:pPr>
              <w:spacing w:before="0"/>
              <w:jc w:val="center"/>
              <w:rPr>
                <w:b/>
                <w:bCs/>
                <w:sz w:val="24"/>
                <w:szCs w:val="24"/>
              </w:rPr>
            </w:pPr>
            <w:r>
              <w:rPr>
                <w:b/>
                <w:bCs/>
                <w:sz w:val="24"/>
                <w:szCs w:val="24"/>
              </w:rPr>
              <w:t>Юр (при необх)</w:t>
            </w:r>
          </w:p>
        </w:tc>
      </w:tr>
      <w:tr w:rsidR="004D44AB" w14:paraId="443B8F77"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2C3A01">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54.6pt" o:ole="">
            <v:imagedata r:id="rId24" o:title=""/>
          </v:shape>
          <o:OLEObject Type="Embed" ProgID="Excel.Sheet.12" ShapeID="_x0000_i1025" DrawAspect="Icon" ObjectID="_1644907792" r:id="rId25"/>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9F1C3" w14:textId="77777777" w:rsidR="005F45F8" w:rsidRDefault="005F45F8">
      <w:r>
        <w:separator/>
      </w:r>
    </w:p>
  </w:endnote>
  <w:endnote w:type="continuationSeparator" w:id="0">
    <w:p w14:paraId="5DF17B39" w14:textId="77777777" w:rsidR="005F45F8" w:rsidRDefault="005F4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5766686A" w:rsidR="007754ED" w:rsidRDefault="007754E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E51B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E51B3">
      <w:rPr>
        <w:i/>
        <w:noProof/>
        <w:sz w:val="24"/>
        <w:szCs w:val="24"/>
      </w:rPr>
      <w:t>126</w:t>
    </w:r>
    <w:r w:rsidRPr="00B54ABF">
      <w:rPr>
        <w:i/>
        <w:sz w:val="24"/>
        <w:szCs w:val="24"/>
      </w:rPr>
      <w:fldChar w:fldCharType="end"/>
    </w:r>
  </w:p>
  <w:p w14:paraId="00A13166" w14:textId="77777777" w:rsidR="007754ED" w:rsidRDefault="007754ED">
    <w:pPr>
      <w:pStyle w:val="a7"/>
    </w:pPr>
  </w:p>
  <w:p w14:paraId="42F0D046" w14:textId="77777777" w:rsidR="007754ED" w:rsidRDefault="007754E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7754ED" w:rsidRPr="00B54ABF" w:rsidRDefault="007754ED" w:rsidP="00B54ABF">
    <w:pPr>
      <w:tabs>
        <w:tab w:val="right" w:pos="10260"/>
      </w:tabs>
      <w:rPr>
        <w:i/>
        <w:sz w:val="24"/>
        <w:szCs w:val="24"/>
      </w:rPr>
    </w:pPr>
    <w:r>
      <w:rPr>
        <w:sz w:val="20"/>
      </w:rPr>
      <w:tab/>
    </w:r>
  </w:p>
  <w:p w14:paraId="67F769B7" w14:textId="77777777" w:rsidR="007754ED" w:rsidRPr="00B54ABF" w:rsidRDefault="007754ED" w:rsidP="00B54ABF">
    <w:pPr>
      <w:tabs>
        <w:tab w:val="right" w:pos="10260"/>
      </w:tabs>
      <w:rPr>
        <w:i/>
        <w:sz w:val="24"/>
        <w:szCs w:val="24"/>
      </w:rPr>
    </w:pPr>
  </w:p>
  <w:p w14:paraId="199F8F4A" w14:textId="6550014E" w:rsidR="007754ED" w:rsidRDefault="007754E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E51B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E51B3">
      <w:rPr>
        <w:i/>
        <w:noProof/>
        <w:sz w:val="24"/>
        <w:szCs w:val="24"/>
      </w:rPr>
      <w:t>126</w:t>
    </w:r>
    <w:r w:rsidRPr="00B54ABF">
      <w:rPr>
        <w:i/>
        <w:sz w:val="24"/>
        <w:szCs w:val="24"/>
      </w:rPr>
      <w:fldChar w:fldCharType="end"/>
    </w:r>
  </w:p>
  <w:p w14:paraId="1948BC63" w14:textId="77777777" w:rsidR="007754ED" w:rsidRDefault="007754E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3C850C4" w:rsidR="007754ED" w:rsidRDefault="007754E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E51B3">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E51B3">
      <w:rPr>
        <w:i/>
        <w:noProof/>
        <w:sz w:val="24"/>
        <w:szCs w:val="24"/>
      </w:rPr>
      <w:t>126</w:t>
    </w:r>
    <w:r w:rsidRPr="00B54ABF">
      <w:rPr>
        <w:i/>
        <w:sz w:val="24"/>
        <w:szCs w:val="24"/>
      </w:rPr>
      <w:fldChar w:fldCharType="end"/>
    </w:r>
  </w:p>
  <w:p w14:paraId="178A4A24" w14:textId="77777777" w:rsidR="007754ED" w:rsidRDefault="007754ED">
    <w:pPr>
      <w:pStyle w:val="a7"/>
    </w:pPr>
  </w:p>
  <w:p w14:paraId="2F4B0C50" w14:textId="77777777" w:rsidR="007754ED" w:rsidRDefault="007754E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754ED" w:rsidRPr="00B54ABF" w:rsidRDefault="007754ED" w:rsidP="00B54ABF">
    <w:pPr>
      <w:tabs>
        <w:tab w:val="right" w:pos="10260"/>
      </w:tabs>
      <w:rPr>
        <w:i/>
        <w:sz w:val="24"/>
        <w:szCs w:val="24"/>
      </w:rPr>
    </w:pPr>
    <w:r>
      <w:rPr>
        <w:sz w:val="20"/>
      </w:rPr>
      <w:tab/>
    </w:r>
  </w:p>
  <w:p w14:paraId="0F135095" w14:textId="77777777" w:rsidR="007754ED" w:rsidRPr="00B54ABF" w:rsidRDefault="007754ED" w:rsidP="00B54ABF">
    <w:pPr>
      <w:tabs>
        <w:tab w:val="right" w:pos="10260"/>
      </w:tabs>
      <w:rPr>
        <w:i/>
        <w:sz w:val="24"/>
        <w:szCs w:val="24"/>
      </w:rPr>
    </w:pPr>
  </w:p>
  <w:p w14:paraId="5F278EC7" w14:textId="5C835C38" w:rsidR="007754ED" w:rsidRDefault="007754E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E51B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E51B3">
      <w:rPr>
        <w:i/>
        <w:noProof/>
        <w:sz w:val="24"/>
        <w:szCs w:val="24"/>
      </w:rPr>
      <w:t>126</w:t>
    </w:r>
    <w:r w:rsidRPr="00B54ABF">
      <w:rPr>
        <w:i/>
        <w:sz w:val="24"/>
        <w:szCs w:val="24"/>
      </w:rPr>
      <w:fldChar w:fldCharType="end"/>
    </w:r>
  </w:p>
  <w:p w14:paraId="730720D1" w14:textId="77777777" w:rsidR="007754ED" w:rsidRDefault="007754E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AB3BD" w14:textId="77777777" w:rsidR="005F45F8" w:rsidRDefault="005F45F8">
      <w:r>
        <w:separator/>
      </w:r>
    </w:p>
  </w:footnote>
  <w:footnote w:type="continuationSeparator" w:id="0">
    <w:p w14:paraId="736C57A7" w14:textId="77777777" w:rsidR="005F45F8" w:rsidRDefault="005F45F8">
      <w:r>
        <w:continuationSeparator/>
      </w:r>
    </w:p>
  </w:footnote>
  <w:footnote w:id="1">
    <w:p w14:paraId="5453D4BC" w14:textId="0E8E048B" w:rsidR="007754ED" w:rsidRDefault="007754ED"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7754ED" w:rsidRDefault="007754E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7754ED" w:rsidRDefault="007754ED"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7754ED" w:rsidRDefault="007754E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7754ED" w:rsidRDefault="007754E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7754ED" w:rsidRDefault="007754E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7754ED" w:rsidRDefault="007754ED">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7754ED" w:rsidRDefault="007754E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7754ED" w:rsidRDefault="007754E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7754ED" w:rsidRDefault="007754E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7754ED" w:rsidRDefault="007754ED"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7754ED" w:rsidRDefault="007754ED"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7754ED" w:rsidRDefault="007754ED"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7754ED" w:rsidRDefault="007754E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7754ED" w:rsidRDefault="007754E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7754ED" w:rsidRDefault="007754E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7754ED" w:rsidRDefault="007754ED"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7754ED" w:rsidRDefault="007754ED"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7754ED" w:rsidRDefault="007754ED"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7754ED" w:rsidRDefault="007754ED"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7754ED" w:rsidRDefault="007754E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7754ED" w:rsidRDefault="007754E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7754ED" w:rsidRDefault="007754E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7754ED" w:rsidRDefault="007754ED">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7754ED" w:rsidRDefault="007754ED"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7754ED" w:rsidRDefault="007754ED"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7754ED" w:rsidRDefault="007754E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7754ED" w:rsidRDefault="007754E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7754ED" w:rsidRDefault="007754ED"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7754ED" w:rsidRDefault="007754E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7754ED" w:rsidRDefault="007754E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7754ED" w:rsidRDefault="007754ED">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7754ED" w:rsidRDefault="007754E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7754ED" w:rsidRDefault="007754ED"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7754ED" w:rsidRDefault="007754ED"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7754ED" w:rsidRDefault="007754ED">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7754ED" w:rsidRDefault="007754ED"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7754ED" w:rsidRDefault="007754ED"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7754ED" w:rsidRDefault="007754E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7754ED" w:rsidRPr="00033B77" w:rsidRDefault="007754E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7754ED" w:rsidRDefault="007754ED"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5DD"/>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A7EA4"/>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03F2"/>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B62"/>
    <w:rsid w:val="00204E9F"/>
    <w:rsid w:val="0020531C"/>
    <w:rsid w:val="00205602"/>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3A0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5C57"/>
    <w:rsid w:val="00506988"/>
    <w:rsid w:val="005079ED"/>
    <w:rsid w:val="00507A4A"/>
    <w:rsid w:val="00507B5B"/>
    <w:rsid w:val="00510195"/>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78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D"/>
    <w:rsid w:val="00556B3F"/>
    <w:rsid w:val="00556C11"/>
    <w:rsid w:val="00557100"/>
    <w:rsid w:val="005572B3"/>
    <w:rsid w:val="00557E3A"/>
    <w:rsid w:val="0056026B"/>
    <w:rsid w:val="0056090E"/>
    <w:rsid w:val="00560FA6"/>
    <w:rsid w:val="00561874"/>
    <w:rsid w:val="00561AAB"/>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5F8"/>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355"/>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1B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AD"/>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6EE"/>
    <w:rsid w:val="00724896"/>
    <w:rsid w:val="0072499A"/>
    <w:rsid w:val="00724FBC"/>
    <w:rsid w:val="00725052"/>
    <w:rsid w:val="0072542B"/>
    <w:rsid w:val="00725A88"/>
    <w:rsid w:val="00725AC5"/>
    <w:rsid w:val="00725D3E"/>
    <w:rsid w:val="00726982"/>
    <w:rsid w:val="00727726"/>
    <w:rsid w:val="00727B6F"/>
    <w:rsid w:val="00727B97"/>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038"/>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4E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E4"/>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381C"/>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7D7"/>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1E19"/>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BF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563"/>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47E45"/>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281"/>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1E59"/>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9F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45F"/>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811"/>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720"/>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012"/>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57907"/>
    <w:rsid w:val="00B60136"/>
    <w:rsid w:val="00B60681"/>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87CFD"/>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03A"/>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41E"/>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B5D"/>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CE3"/>
    <w:rsid w:val="00CA3F7B"/>
    <w:rsid w:val="00CA55B2"/>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684F"/>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90"/>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DAB"/>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3F8"/>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4EC"/>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6B57"/>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A48"/>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D69"/>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095"/>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456B7B7-7816-45F2-8CE8-EBE96A8B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258C7-2BBC-4E31-A683-BA9F24DAC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126</Pages>
  <Words>32855</Words>
  <Characters>187277</Characters>
  <Application>Microsoft Office Word</Application>
  <DocSecurity>0</DocSecurity>
  <Lines>1560</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219693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66</cp:revision>
  <cp:lastPrinted>2018-05-25T11:25:00Z</cp:lastPrinted>
  <dcterms:created xsi:type="dcterms:W3CDTF">2019-03-15T02:05:00Z</dcterms:created>
  <dcterms:modified xsi:type="dcterms:W3CDTF">2020-03-05T01:03:00Z</dcterms:modified>
</cp:coreProperties>
</file>