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40BEF" w14:paraId="3F55925D" w14:textId="77777777" w:rsidTr="00D61477">
        <w:trPr>
          <w:trHeight w:val="854"/>
        </w:trPr>
        <w:tc>
          <w:tcPr>
            <w:tcW w:w="10173" w:type="dxa"/>
          </w:tcPr>
          <w:p w14:paraId="682A719D" w14:textId="77777777" w:rsidR="00B40BEF" w:rsidRDefault="00B40BEF" w:rsidP="00D61477">
            <w:pPr>
              <w:ind w:left="-956" w:firstLine="1135"/>
              <w:jc w:val="center"/>
            </w:pPr>
            <w:r w:rsidRPr="001C5091">
              <w:rPr>
                <w:rFonts w:ascii="Arial" w:hAnsi="Arial" w:cs="Arial"/>
                <w:b/>
                <w:bCs/>
                <w:noProof/>
                <w:sz w:val="20"/>
              </w:rPr>
              <w:drawing>
                <wp:anchor distT="0" distB="0" distL="114300" distR="114300" simplePos="0" relativeHeight="251659264" behindDoc="1" locked="0" layoutInCell="1" allowOverlap="1" wp14:anchorId="03AF2635" wp14:editId="71596FBB">
                  <wp:simplePos x="0" y="0"/>
                  <wp:positionH relativeFrom="column">
                    <wp:posOffset>2165985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40BEF" w:rsidRPr="00144E58" w14:paraId="7C41D745" w14:textId="77777777" w:rsidTr="00D61477">
        <w:tc>
          <w:tcPr>
            <w:tcW w:w="10173" w:type="dxa"/>
            <w:vAlign w:val="center"/>
          </w:tcPr>
          <w:p w14:paraId="50DCDD10" w14:textId="77777777" w:rsidR="00B40BEF" w:rsidRDefault="00B40BEF" w:rsidP="00D61477">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419A280" w14:textId="77777777" w:rsidR="00B40BEF" w:rsidRDefault="00B40BEF" w:rsidP="00D61477">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267BF3B9" w14:textId="77777777" w:rsidR="00B40BEF" w:rsidRPr="00144E58" w:rsidRDefault="00B40BEF" w:rsidP="00D61477">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04EC74D2" w14:textId="77777777" w:rsidR="00B40BEF" w:rsidRDefault="00B40BEF" w:rsidP="00B40BEF">
      <w:pPr>
        <w:jc w:val="center"/>
        <w:rPr>
          <w:b/>
          <w:sz w:val="16"/>
          <w:szCs w:val="16"/>
        </w:rPr>
      </w:pPr>
    </w:p>
    <w:p w14:paraId="10E95A4D" w14:textId="10B8A203" w:rsidR="00AA46BF" w:rsidRPr="00D25F7D" w:rsidRDefault="00AA46BF" w:rsidP="000E154E">
      <w:pPr>
        <w:ind w:left="4395" w:hanging="11"/>
        <w:rPr>
          <w:snapToGrid/>
          <w:szCs w:val="28"/>
        </w:rPr>
      </w:pPr>
      <w:r w:rsidRPr="00D25F7D">
        <w:rPr>
          <w:szCs w:val="28"/>
        </w:rPr>
        <w:t>«УТВЕРЖДАЮ»</w:t>
      </w:r>
    </w:p>
    <w:p w14:paraId="45953A17" w14:textId="59AFFB86" w:rsidR="003E4F65" w:rsidRDefault="00D61477" w:rsidP="003E4F65">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62842A5F" w:rsidR="00B0748C" w:rsidRPr="00B0748C" w:rsidRDefault="00AA46BF" w:rsidP="00AA46BF">
      <w:pPr>
        <w:ind w:left="4395" w:hanging="11"/>
        <w:rPr>
          <w:szCs w:val="28"/>
        </w:rPr>
      </w:pPr>
      <w:r w:rsidRPr="00B26836">
        <w:rPr>
          <w:szCs w:val="28"/>
        </w:rPr>
        <w:t xml:space="preserve">__________________ </w:t>
      </w:r>
      <w:r w:rsidR="00D61477">
        <w:t>С</w:t>
      </w:r>
      <w:r w:rsidR="0009311D">
        <w:t xml:space="preserve">.А. </w:t>
      </w:r>
      <w:r w:rsidR="00D61477">
        <w:t>Коржов</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341F5A6C" w:rsidR="00AA46BF" w:rsidRPr="000903A1" w:rsidRDefault="00AA46BF" w:rsidP="00BF4CF6">
      <w:pPr>
        <w:spacing w:before="480" w:after="360"/>
        <w:jc w:val="center"/>
        <w:outlineLvl w:val="4"/>
        <w:rPr>
          <w:sz w:val="28"/>
          <w:szCs w:val="28"/>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0903A1">
        <w:rPr>
          <w:sz w:val="28"/>
          <w:szCs w:val="28"/>
        </w:rPr>
        <w:t xml:space="preserve">(Лот </w:t>
      </w:r>
      <w:r w:rsidR="0030398E" w:rsidRPr="000903A1">
        <w:rPr>
          <w:sz w:val="28"/>
          <w:szCs w:val="28"/>
        </w:rPr>
        <w:t xml:space="preserve">№ </w:t>
      </w:r>
      <w:r w:rsidR="000903A1" w:rsidRPr="000903A1">
        <w:rPr>
          <w:sz w:val="28"/>
          <w:szCs w:val="28"/>
        </w:rPr>
        <w:t>11003-ТПИР-ТПИР ОБСЛ-2020-ДРСК</w:t>
      </w:r>
      <w:r w:rsidR="005640E7" w:rsidRPr="000903A1">
        <w:rPr>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0E778ECD" w:rsidR="00B0748C" w:rsidRDefault="00B0748C" w:rsidP="00745CC5">
            <w:pPr>
              <w:pStyle w:val="afa"/>
              <w:tabs>
                <w:tab w:val="left" w:pos="708"/>
              </w:tabs>
              <w:snapToGrid w:val="0"/>
              <w:spacing w:before="0"/>
              <w:ind w:left="567"/>
              <w:rPr>
                <w:b/>
                <w:i/>
                <w:szCs w:val="26"/>
                <w:lang w:eastAsia="en-US"/>
              </w:rPr>
            </w:pPr>
            <w:r>
              <w:rPr>
                <w:b/>
                <w:i/>
                <w:szCs w:val="26"/>
                <w:lang w:eastAsia="en-US"/>
              </w:rPr>
              <w:t>№</w:t>
            </w:r>
            <w:r w:rsidR="00745CC5">
              <w:rPr>
                <w:b/>
                <w:i/>
                <w:szCs w:val="26"/>
                <w:lang w:eastAsia="en-US"/>
              </w:rPr>
              <w:t>269</w:t>
            </w:r>
            <w:r>
              <w:rPr>
                <w:b/>
                <w:i/>
                <w:szCs w:val="26"/>
                <w:lang w:eastAsia="en-US"/>
              </w:rPr>
              <w:t>/У</w:t>
            </w:r>
            <w:r w:rsidR="006D46DE">
              <w:rPr>
                <w:b/>
                <w:i/>
                <w:szCs w:val="26"/>
                <w:lang w:eastAsia="en-US"/>
              </w:rPr>
              <w:t>ТПиР</w:t>
            </w:r>
          </w:p>
        </w:tc>
        <w:tc>
          <w:tcPr>
            <w:tcW w:w="4786" w:type="dxa"/>
            <w:hideMark/>
          </w:tcPr>
          <w:p w14:paraId="016D7AE1" w14:textId="6978E334" w:rsidR="00B0748C" w:rsidRDefault="00AC323F" w:rsidP="00D5318F">
            <w:pPr>
              <w:pStyle w:val="afa"/>
              <w:tabs>
                <w:tab w:val="clear" w:pos="1134"/>
                <w:tab w:val="left" w:pos="3075"/>
              </w:tabs>
              <w:snapToGrid w:val="0"/>
              <w:spacing w:before="0"/>
              <w:ind w:left="567"/>
              <w:jc w:val="right"/>
              <w:rPr>
                <w:b/>
                <w:i/>
                <w:szCs w:val="26"/>
                <w:lang w:eastAsia="en-US"/>
              </w:rPr>
            </w:pPr>
            <w:r>
              <w:rPr>
                <w:b/>
                <w:i/>
                <w:szCs w:val="26"/>
                <w:lang w:eastAsia="en-US"/>
              </w:rPr>
              <w:t>«</w:t>
            </w:r>
            <w:r w:rsidR="00D5318F">
              <w:rPr>
                <w:b/>
                <w:i/>
                <w:szCs w:val="26"/>
                <w:lang w:eastAsia="en-US"/>
              </w:rPr>
              <w:t>16</w:t>
            </w:r>
            <w:r w:rsidR="00B0748C">
              <w:rPr>
                <w:b/>
                <w:i/>
                <w:szCs w:val="26"/>
                <w:lang w:eastAsia="en-US"/>
              </w:rPr>
              <w:t xml:space="preserve">» </w:t>
            </w:r>
            <w:r w:rsidR="00D5318F">
              <w:rPr>
                <w:b/>
                <w:i/>
                <w:szCs w:val="26"/>
                <w:lang w:eastAsia="en-US"/>
              </w:rPr>
              <w:t>декабря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23EFD6C1" w14:textId="324491E3" w:rsidR="00B0748C" w:rsidRPr="00B0748C" w:rsidRDefault="00B0748C" w:rsidP="00B0748C">
            <w:pPr>
              <w:suppressAutoHyphens/>
            </w:pPr>
            <w:r w:rsidRPr="00B0748C">
              <w:t xml:space="preserve">Лот № </w:t>
            </w:r>
            <w:r w:rsidR="00B56BC8" w:rsidRPr="00B56BC8">
              <w:t>11003-ТПИР-ТПИР ОБСЛ-2020-ДРСК</w:t>
            </w:r>
            <w:r w:rsidRPr="00B0748C">
              <w:t xml:space="preserve">: </w:t>
            </w:r>
            <w:r>
              <w:t>«</w:t>
            </w:r>
            <w:r w:rsidR="0042532A" w:rsidRPr="0042532A">
              <w:rPr>
                <w:b/>
                <w:i/>
              </w:rPr>
              <w:t>Реконструкция ВЛ 0,4 кВ п.Бурея</w:t>
            </w:r>
            <w:r>
              <w:rPr>
                <w:b/>
                <w:i/>
              </w:rPr>
              <w:t>»</w:t>
            </w:r>
            <w:r w:rsidR="001F2090">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5843EB5" w:rsidR="00845457" w:rsidRPr="00DB7BCB" w:rsidRDefault="00845457" w:rsidP="003162C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162C2" w:rsidRPr="003162C2">
              <w:rPr>
                <w:rFonts w:ascii="Times New Roman" w:eastAsia="Times New Roman" w:hAnsi="Times New Roman"/>
                <w:b/>
                <w:i/>
                <w:noProof w:val="0"/>
                <w:snapToGrid w:val="0"/>
                <w:sz w:val="26"/>
                <w:lang w:eastAsia="ru-RU"/>
              </w:rPr>
              <w:t>7 379 761.94</w:t>
            </w:r>
            <w:r w:rsidR="003162C2">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6E42A8F1" w:rsidR="006C03D6" w:rsidRPr="00DB7BCB" w:rsidRDefault="00B0748C" w:rsidP="00B0748C">
            <w:pPr>
              <w:widowControl w:val="0"/>
              <w:spacing w:before="0"/>
            </w:pPr>
            <w:r w:rsidRPr="00B0748C">
              <w:rPr>
                <w:b/>
                <w:i/>
              </w:rPr>
              <w:t>«</w:t>
            </w:r>
            <w:r w:rsidR="00D61477">
              <w:rPr>
                <w:b/>
                <w:i/>
              </w:rPr>
              <w:t>16</w:t>
            </w:r>
            <w:r w:rsidRPr="00B0748C">
              <w:rPr>
                <w:b/>
                <w:i/>
              </w:rPr>
              <w:t>»</w:t>
            </w:r>
            <w:r w:rsidR="00B56BC8">
              <w:rPr>
                <w:b/>
                <w:i/>
              </w:rPr>
              <w:t xml:space="preserve"> </w:t>
            </w:r>
            <w:r w:rsidRPr="00B0748C">
              <w:rPr>
                <w:b/>
                <w:i/>
              </w:rPr>
              <w:t xml:space="preserve"> </w:t>
            </w:r>
            <w:r w:rsidR="00D61477">
              <w:rPr>
                <w:b/>
                <w:i/>
              </w:rPr>
              <w:t>декабря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1A1E92D" w:rsidR="002541D7" w:rsidRPr="008854F8" w:rsidRDefault="00F54DEB" w:rsidP="00D61477">
            <w:pPr>
              <w:widowControl w:val="0"/>
              <w:spacing w:before="0"/>
              <w:rPr>
                <w:rFonts w:eastAsia="Lucida Sans Unicode"/>
                <w:b/>
                <w:i/>
                <w:kern w:val="1"/>
                <w:shd w:val="clear" w:color="auto" w:fill="FFFF99"/>
              </w:rPr>
            </w:pPr>
            <w:r w:rsidRPr="00B0748C">
              <w:rPr>
                <w:b/>
                <w:i/>
              </w:rPr>
              <w:t>«</w:t>
            </w:r>
            <w:r w:rsidR="00D61477">
              <w:rPr>
                <w:b/>
                <w:i/>
              </w:rPr>
              <w:t>26</w:t>
            </w:r>
            <w:r w:rsidRPr="00B0748C">
              <w:rPr>
                <w:b/>
                <w:i/>
              </w:rPr>
              <w:t xml:space="preserve">» </w:t>
            </w:r>
            <w:r w:rsidR="00D61477">
              <w:rPr>
                <w:b/>
                <w:i/>
              </w:rPr>
              <w:t>декабря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6459DC65" w:rsidR="005827AE" w:rsidRPr="00C031E6" w:rsidRDefault="00930790" w:rsidP="00A61008">
            <w:pPr>
              <w:pStyle w:val="Tabletext"/>
              <w:widowControl w:val="0"/>
              <w:spacing w:after="120"/>
              <w:ind w:left="34"/>
              <w:rPr>
                <w:snapToGrid w:val="0"/>
                <w:sz w:val="26"/>
                <w:szCs w:val="26"/>
              </w:rPr>
            </w:pPr>
            <w:r w:rsidRPr="00F85092">
              <w:rPr>
                <w:b/>
                <w:i/>
                <w:snapToGrid w:val="0"/>
                <w:sz w:val="26"/>
                <w:szCs w:val="26"/>
              </w:rPr>
              <w:t>«</w:t>
            </w:r>
            <w:r w:rsidR="00A61008">
              <w:rPr>
                <w:b/>
                <w:i/>
                <w:snapToGrid w:val="0"/>
                <w:sz w:val="26"/>
                <w:szCs w:val="26"/>
              </w:rPr>
              <w:t>22</w:t>
            </w:r>
            <w:r w:rsidRPr="00F85092">
              <w:rPr>
                <w:b/>
                <w:i/>
                <w:snapToGrid w:val="0"/>
                <w:sz w:val="26"/>
                <w:szCs w:val="26"/>
              </w:rPr>
              <w:t xml:space="preserve">» </w:t>
            </w:r>
            <w:r w:rsidR="00A61008">
              <w:rPr>
                <w:b/>
                <w:i/>
                <w:snapToGrid w:val="0"/>
                <w:sz w:val="26"/>
                <w:szCs w:val="26"/>
              </w:rPr>
              <w:t>января</w:t>
            </w:r>
            <w:r w:rsidR="00F85092" w:rsidRPr="00F85092">
              <w:rPr>
                <w:b/>
                <w:i/>
                <w:snapToGrid w:val="0"/>
                <w:sz w:val="26"/>
                <w:szCs w:val="26"/>
              </w:rPr>
              <w:t xml:space="preserve"> 20</w:t>
            </w:r>
            <w:r w:rsidR="00B56BC8">
              <w:rPr>
                <w:b/>
                <w:i/>
                <w:snapToGrid w:val="0"/>
                <w:sz w:val="26"/>
                <w:szCs w:val="26"/>
              </w:rPr>
              <w:t>20</w:t>
            </w:r>
            <w:r w:rsidR="00F85092" w:rsidRPr="00F85092">
              <w:rPr>
                <w:b/>
                <w:i/>
                <w:snapToGrid w:val="0"/>
                <w:sz w:val="26"/>
                <w:szCs w:val="26"/>
              </w:rPr>
              <w:t xml:space="preserve">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6F6E0ACC" w:rsidR="0075535C" w:rsidRPr="008F072E" w:rsidRDefault="0075535C" w:rsidP="004B4F68">
            <w:pPr>
              <w:pStyle w:val="afa"/>
              <w:tabs>
                <w:tab w:val="clear" w:pos="1134"/>
                <w:tab w:val="left" w:pos="567"/>
              </w:tabs>
              <w:spacing w:before="120" w:after="120"/>
              <w:rPr>
                <w:b/>
                <w:i/>
                <w:szCs w:val="26"/>
              </w:rPr>
            </w:pPr>
            <w:r w:rsidRPr="008F072E">
              <w:rPr>
                <w:b/>
                <w:i/>
              </w:rPr>
              <w:t>«</w:t>
            </w:r>
            <w:r w:rsidR="00D61477">
              <w:rPr>
                <w:b/>
                <w:i/>
              </w:rPr>
              <w:t>0</w:t>
            </w:r>
            <w:r w:rsidR="004B4F68">
              <w:rPr>
                <w:b/>
                <w:i/>
              </w:rPr>
              <w:t>7</w:t>
            </w:r>
            <w:r w:rsidRPr="008F072E">
              <w:rPr>
                <w:b/>
                <w:i/>
              </w:rPr>
              <w:t xml:space="preserve">» </w:t>
            </w:r>
            <w:r w:rsidR="00D61477">
              <w:rPr>
                <w:b/>
                <w:i/>
              </w:rPr>
              <w:t>февраля</w:t>
            </w:r>
            <w:r w:rsidR="008F072E" w:rsidRPr="008F072E">
              <w:rPr>
                <w:b/>
                <w:i/>
              </w:rPr>
              <w:t xml:space="preserve"> </w:t>
            </w:r>
            <w:r w:rsidRPr="008F072E">
              <w:rPr>
                <w:b/>
                <w:i/>
              </w:rPr>
              <w:t xml:space="preserve"> 20</w:t>
            </w:r>
            <w:r w:rsidR="00B56BC8">
              <w:rPr>
                <w:b/>
                <w:i/>
              </w:rPr>
              <w:t>20</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w:t>
            </w:r>
            <w:r w:rsidRPr="0081240A">
              <w:rPr>
                <w:b w:val="0"/>
                <w:snapToGrid w:val="0"/>
                <w:sz w:val="26"/>
                <w:szCs w:val="26"/>
              </w:rPr>
              <w:lastRenderedPageBreak/>
              <w:t>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8FCD4CF" w14:textId="413523FA" w:rsidR="00EF02C6" w:rsidRDefault="00D61477" w:rsidP="00EF02C6">
      <w:pPr>
        <w:ind w:left="4395" w:hanging="11"/>
        <w:rPr>
          <w:szCs w:val="28"/>
        </w:rPr>
      </w:pPr>
      <w:r>
        <w:rPr>
          <w:szCs w:val="28"/>
        </w:rPr>
        <w:t xml:space="preserve">Зам. </w:t>
      </w:r>
      <w:r w:rsidR="00EF02C6" w:rsidRPr="00FC0CA5">
        <w:rPr>
          <w:szCs w:val="28"/>
        </w:rPr>
        <w:t>Председател</w:t>
      </w:r>
      <w:r>
        <w:rPr>
          <w:szCs w:val="28"/>
        </w:rPr>
        <w:t>я</w:t>
      </w:r>
      <w:r w:rsidR="00EF02C6" w:rsidRPr="00FC0CA5">
        <w:rPr>
          <w:szCs w:val="28"/>
        </w:rPr>
        <w:t xml:space="preserve"> закупочной комиссии</w:t>
      </w:r>
    </w:p>
    <w:p w14:paraId="167CF792" w14:textId="77777777" w:rsidR="00EF02C6" w:rsidRDefault="00EF02C6" w:rsidP="00EF02C6">
      <w:pPr>
        <w:ind w:left="4395" w:hanging="11"/>
        <w:rPr>
          <w:b/>
        </w:rPr>
      </w:pPr>
      <w:r w:rsidRPr="003E4F65">
        <w:rPr>
          <w:szCs w:val="28"/>
        </w:rPr>
        <w:t>1 уровня АО «ДРСК»</w:t>
      </w:r>
    </w:p>
    <w:p w14:paraId="533264F2" w14:textId="220473C4" w:rsidR="00EF02C6" w:rsidRPr="00B0748C" w:rsidRDefault="00EF02C6" w:rsidP="00EF02C6">
      <w:pPr>
        <w:ind w:left="4395" w:hanging="11"/>
        <w:rPr>
          <w:szCs w:val="28"/>
        </w:rPr>
      </w:pPr>
      <w:r w:rsidRPr="00B26836">
        <w:rPr>
          <w:szCs w:val="28"/>
        </w:rPr>
        <w:t xml:space="preserve">__________________ </w:t>
      </w:r>
      <w:r w:rsidR="00D61477">
        <w:t>С</w:t>
      </w:r>
      <w:r>
        <w:t xml:space="preserve">.А. </w:t>
      </w:r>
      <w:r w:rsidR="00D61477">
        <w:t>Коржов</w:t>
      </w:r>
    </w:p>
    <w:p w14:paraId="420C8C54" w14:textId="4F5767A3" w:rsidR="00FB168B" w:rsidRPr="00C55B01" w:rsidRDefault="00EF02C6" w:rsidP="00EF02C6">
      <w:pPr>
        <w:ind w:left="4394" w:hanging="11"/>
        <w:rPr>
          <w:i/>
          <w:sz w:val="24"/>
          <w:szCs w:val="24"/>
          <w:shd w:val="clear" w:color="auto" w:fill="FFFF99"/>
        </w:rPr>
      </w:pPr>
      <w:r w:rsidRPr="00D17864">
        <w:rPr>
          <w:szCs w:val="28"/>
        </w:rPr>
        <w:t>«___» _______________ 201</w:t>
      </w:r>
      <w:r>
        <w:rPr>
          <w:szCs w:val="28"/>
        </w:rPr>
        <w:t>9</w:t>
      </w:r>
      <w:r w:rsidRPr="00D17864">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0A1C5027" w:rsidR="009D36BA" w:rsidRDefault="00EC5F37" w:rsidP="009D36BA">
      <w:pPr>
        <w:suppressAutoHyphens/>
        <w:jc w:val="center"/>
      </w:pPr>
      <w:r w:rsidRPr="00C55B01">
        <w:t>НА</w:t>
      </w:r>
      <w:r w:rsidR="00CB647A">
        <w:t xml:space="preserve"> </w:t>
      </w:r>
      <w:r w:rsidR="009D36BA">
        <w:t>ВЫПОЛНЕНИЕ РАБОТ</w:t>
      </w:r>
    </w:p>
    <w:p w14:paraId="61171CEF" w14:textId="14A3AF53" w:rsidR="009D36BA" w:rsidRPr="00FD356F" w:rsidRDefault="009D36BA" w:rsidP="009D36BA">
      <w:pPr>
        <w:suppressAutoHyphens/>
        <w:jc w:val="center"/>
        <w:rPr>
          <w:sz w:val="28"/>
          <w:szCs w:val="28"/>
        </w:rPr>
      </w:pPr>
      <w:r w:rsidRPr="00FD356F">
        <w:rPr>
          <w:sz w:val="28"/>
          <w:szCs w:val="28"/>
        </w:rPr>
        <w:t>«</w:t>
      </w:r>
      <w:r w:rsidR="0042532A" w:rsidRPr="0042532A">
        <w:rPr>
          <w:b/>
          <w:i/>
          <w:sz w:val="28"/>
          <w:szCs w:val="28"/>
        </w:rPr>
        <w:t>Реконструкция ВЛ 0,4 кВ п.Бурея</w:t>
      </w:r>
      <w:r w:rsidRPr="00FD356F">
        <w:rPr>
          <w:b/>
          <w:i/>
          <w:sz w:val="28"/>
          <w:szCs w:val="28"/>
        </w:rPr>
        <w:t>»</w:t>
      </w:r>
    </w:p>
    <w:p w14:paraId="1129C407" w14:textId="0FAC53CA" w:rsidR="00D51C4F" w:rsidRPr="00FD356F" w:rsidRDefault="00D51C4F" w:rsidP="00590C8F">
      <w:pPr>
        <w:suppressAutoHyphens/>
        <w:jc w:val="center"/>
        <w:rPr>
          <w:sz w:val="28"/>
          <w:szCs w:val="28"/>
        </w:rPr>
      </w:pPr>
    </w:p>
    <w:p w14:paraId="0A5207F4" w14:textId="505D18C0" w:rsidR="00EC5F37" w:rsidRPr="00C55B01" w:rsidRDefault="00D51C4F" w:rsidP="00D51C4F">
      <w:pPr>
        <w:jc w:val="center"/>
      </w:pPr>
      <w:r w:rsidRPr="00C55B01">
        <w:t xml:space="preserve">(ЛОТ № </w:t>
      </w:r>
      <w:r w:rsidR="00B56BC8" w:rsidRPr="00B56BC8">
        <w:t>11003-ТПИР-ТПИР ОБСЛ-2020-ДРСК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D03E1E">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D03E1E">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D03E1E">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D03E1E">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D03E1E">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D03E1E">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D03E1E">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D03E1E">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D03E1E">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D03E1E">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D03E1E">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D03E1E">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D03E1E">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D03E1E">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D03E1E">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D03E1E">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D03E1E">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D03E1E">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D03E1E">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D03E1E">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D03E1E">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D03E1E">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D03E1E">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D03E1E">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D03E1E">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D03E1E">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D03E1E">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D03E1E">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D03E1E">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D03E1E">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D03E1E">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D03E1E">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D03E1E">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D03E1E">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D03E1E">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D03E1E">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D03E1E">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D03E1E">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D03E1E">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D03E1E">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D03E1E">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D03E1E">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D03E1E">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D03E1E">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D03E1E">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D03E1E">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D03E1E">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D03E1E">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D03E1E">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D03E1E">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D03E1E">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D03E1E">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2838"/>
      <w:r w:rsidRPr="00E014DA">
        <w:rPr>
          <w:sz w:val="28"/>
        </w:rPr>
        <w:t>Статус настоящего раздела</w:t>
      </w:r>
      <w:bookmarkEnd w:id="37"/>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218F6D3D" w:rsidR="00BB6329" w:rsidRDefault="004010E6" w:rsidP="00211F82">
            <w:pPr>
              <w:suppressAutoHyphens/>
              <w:rPr>
                <w:b/>
              </w:rPr>
            </w:pPr>
            <w:r w:rsidRPr="00211F82">
              <w:t xml:space="preserve">Лот № </w:t>
            </w:r>
            <w:r w:rsidR="00B56BC8" w:rsidRPr="00B56BC8">
              <w:t>11003-ТПИР-ТПИР ОБСЛ-2020-ДРСК</w:t>
            </w:r>
            <w:r w:rsidR="00295A25" w:rsidRPr="00211F82">
              <w:t>:</w:t>
            </w:r>
            <w:r w:rsidR="003938D1">
              <w:rPr>
                <w:b/>
              </w:rPr>
              <w:t xml:space="preserve"> </w:t>
            </w:r>
          </w:p>
          <w:p w14:paraId="7E3C544F" w14:textId="39A20B2F" w:rsidR="004010E6" w:rsidRPr="00BA04C6" w:rsidRDefault="00295A25" w:rsidP="00211F82">
            <w:pPr>
              <w:suppressAutoHyphens/>
              <w:rPr>
                <w:rStyle w:val="af8"/>
                <w:b w:val="0"/>
                <w:snapToGrid/>
              </w:rPr>
            </w:pPr>
            <w:r>
              <w:t>«</w:t>
            </w:r>
            <w:r w:rsidR="0042532A" w:rsidRPr="0042532A">
              <w:rPr>
                <w:b/>
                <w:i/>
              </w:rPr>
              <w:t>Реконструкция ВЛ 0,4 кВ п.Бурея</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B4C85B6" w:rsidR="00D11474" w:rsidRPr="00BA04C6" w:rsidRDefault="000F251F" w:rsidP="00D61477">
            <w:pPr>
              <w:rPr>
                <w:rStyle w:val="af8"/>
                <w:b w:val="0"/>
                <w:snapToGrid/>
              </w:rPr>
            </w:pPr>
            <w:r>
              <w:t xml:space="preserve"> </w:t>
            </w:r>
            <w:r w:rsidR="00D61477">
              <w:t>16.12</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4035C7AF" w:rsidR="008B0993" w:rsidRPr="008B0993" w:rsidRDefault="008B0993" w:rsidP="003162C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3162C2" w:rsidRPr="003162C2">
              <w:rPr>
                <w:rFonts w:ascii="Times New Roman" w:eastAsia="Times New Roman" w:hAnsi="Times New Roman"/>
                <w:b/>
                <w:i/>
                <w:noProof w:val="0"/>
                <w:snapToGrid w:val="0"/>
                <w:sz w:val="26"/>
                <w:lang w:eastAsia="ru-RU"/>
              </w:rPr>
              <w:t>7 379 761.94</w:t>
            </w:r>
            <w:r w:rsidR="003162C2">
              <w:rPr>
                <w:rFonts w:ascii="Times New Roman" w:eastAsia="Times New Roman" w:hAnsi="Times New Roman"/>
                <w:b/>
                <w:i/>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341D3EB" w:rsidR="002B7A7F" w:rsidRPr="00A274F9" w:rsidRDefault="00F50FBF" w:rsidP="0099306B">
            <w:pPr>
              <w:tabs>
                <w:tab w:val="left" w:pos="426"/>
              </w:tabs>
              <w:spacing w:after="120"/>
              <w:rPr>
                <w:rFonts w:eastAsia="Lucida Sans Unicode"/>
                <w:i/>
                <w:kern w:val="1"/>
                <w:shd w:val="clear" w:color="auto" w:fill="FFFF99"/>
              </w:rPr>
            </w:pPr>
            <w:r>
              <w:rPr>
                <w:szCs w:val="28"/>
              </w:rPr>
              <w:t>36</w:t>
            </w:r>
            <w:r w:rsidR="0099306B">
              <w:rPr>
                <w:szCs w:val="28"/>
              </w:rPr>
              <w:t> </w:t>
            </w:r>
            <w:r>
              <w:rPr>
                <w:szCs w:val="28"/>
              </w:rPr>
              <w:t>89</w:t>
            </w:r>
            <w:r w:rsidR="0099306B">
              <w:rPr>
                <w:szCs w:val="28"/>
              </w:rPr>
              <w:t>8.81</w:t>
            </w:r>
            <w:r w:rsidR="007D0096">
              <w:rPr>
                <w:szCs w:val="28"/>
              </w:rPr>
              <w:t xml:space="preserve"> руб.</w:t>
            </w:r>
            <w:r w:rsidR="007D0096" w:rsidRPr="00B6464E">
              <w:rPr>
                <w:szCs w:val="28"/>
              </w:rPr>
              <w:t xml:space="preserve"> – </w:t>
            </w:r>
            <w:r>
              <w:rPr>
                <w:szCs w:val="28"/>
              </w:rPr>
              <w:t>368</w:t>
            </w:r>
            <w:r w:rsidR="0099306B">
              <w:rPr>
                <w:szCs w:val="28"/>
              </w:rPr>
              <w:t> </w:t>
            </w:r>
            <w:r>
              <w:rPr>
                <w:szCs w:val="28"/>
              </w:rPr>
              <w:t>988</w:t>
            </w:r>
            <w:r w:rsidR="0099306B">
              <w:rPr>
                <w:szCs w:val="28"/>
              </w:rPr>
              <w:t>,1</w:t>
            </w:r>
            <w:bookmarkStart w:id="55" w:name="_GoBack"/>
            <w:bookmarkEnd w:id="55"/>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DC96E15" w:rsidR="004B5506" w:rsidRPr="001D3ED0" w:rsidRDefault="004B5506"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067ABF">
              <w:rPr>
                <w:rFonts w:ascii="Times New Roman" w:eastAsia="Times New Roman" w:hAnsi="Times New Roman"/>
                <w:noProof w:val="0"/>
                <w:snapToGrid w:val="0"/>
                <w:sz w:val="26"/>
                <w:lang w:eastAsia="ru-RU"/>
              </w:rPr>
              <w:t xml:space="preserve"> </w:t>
            </w:r>
            <w:r w:rsidR="00067ABF"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3905FA"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905FA" w:rsidRPr="00FB6C32">
              <w:rPr>
                <w:rFonts w:ascii="Times New Roman" w:eastAsia="Times New Roman" w:hAnsi="Times New Roman"/>
                <w:noProof w:val="0"/>
                <w:snapToGrid w:val="0"/>
                <w:sz w:val="26"/>
                <w:lang w:eastAsia="ru-RU"/>
              </w:rPr>
              <w:fldChar w:fldCharType="begin"/>
            </w:r>
            <w:r w:rsidR="003905FA" w:rsidRPr="00FB6C32">
              <w:rPr>
                <w:rFonts w:ascii="Times New Roman" w:eastAsia="Times New Roman" w:hAnsi="Times New Roman"/>
                <w:noProof w:val="0"/>
                <w:snapToGrid w:val="0"/>
                <w:sz w:val="26"/>
                <w:lang w:eastAsia="ru-RU"/>
              </w:rPr>
              <w:instrText xml:space="preserve"> REF _Ref514556477 \r \h  \* MERGEFORMAT </w:instrText>
            </w:r>
            <w:r w:rsidR="003905FA" w:rsidRPr="00FB6C32">
              <w:rPr>
                <w:rFonts w:ascii="Times New Roman" w:eastAsia="Times New Roman" w:hAnsi="Times New Roman"/>
                <w:noProof w:val="0"/>
                <w:snapToGrid w:val="0"/>
                <w:sz w:val="26"/>
                <w:lang w:eastAsia="ru-RU"/>
              </w:rPr>
            </w:r>
            <w:r w:rsidR="003905FA" w:rsidRPr="00FB6C32">
              <w:rPr>
                <w:rFonts w:ascii="Times New Roman" w:eastAsia="Times New Roman" w:hAnsi="Times New Roman"/>
                <w:noProof w:val="0"/>
                <w:snapToGrid w:val="0"/>
                <w:sz w:val="26"/>
                <w:lang w:eastAsia="ru-RU"/>
              </w:rPr>
              <w:fldChar w:fldCharType="separate"/>
            </w:r>
            <w:r w:rsidR="00B84F51">
              <w:rPr>
                <w:rFonts w:ascii="Times New Roman" w:eastAsia="Times New Roman" w:hAnsi="Times New Roman"/>
                <w:noProof w:val="0"/>
                <w:snapToGrid w:val="0"/>
                <w:sz w:val="26"/>
                <w:lang w:eastAsia="ru-RU"/>
              </w:rPr>
              <w:t>7.4</w:t>
            </w:r>
            <w:r w:rsidR="003905FA"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A731B3D" w:rsidR="00D11474" w:rsidRDefault="001C3877" w:rsidP="003A4D98">
            <w:pPr>
              <w:pStyle w:val="Tabletext"/>
              <w:spacing w:after="120"/>
              <w:rPr>
                <w:i/>
                <w:snapToGrid w:val="0"/>
                <w:sz w:val="26"/>
                <w:szCs w:val="26"/>
                <w:shd w:val="clear" w:color="auto" w:fill="FFFF99"/>
              </w:rPr>
            </w:pPr>
            <w:r w:rsidRPr="00503AA4">
              <w:rPr>
                <w:sz w:val="26"/>
                <w:szCs w:val="26"/>
              </w:rPr>
              <w:t>«</w:t>
            </w:r>
            <w:r w:rsidR="00D61477">
              <w:rPr>
                <w:sz w:val="26"/>
                <w:szCs w:val="26"/>
              </w:rPr>
              <w:t>26</w:t>
            </w:r>
            <w:r w:rsidRPr="00503AA4">
              <w:rPr>
                <w:sz w:val="26"/>
                <w:szCs w:val="26"/>
              </w:rPr>
              <w:t xml:space="preserve">» </w:t>
            </w:r>
            <w:r w:rsidR="00D61477">
              <w:rPr>
                <w:sz w:val="26"/>
                <w:szCs w:val="26"/>
              </w:rPr>
              <w:t>декабря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3A126D6E" w:rsidR="001C3877" w:rsidRPr="001C3877" w:rsidRDefault="00F041BD" w:rsidP="001C3877">
            <w:pPr>
              <w:widowControl w:val="0"/>
              <w:spacing w:before="0"/>
              <w:rPr>
                <w:b/>
                <w:i/>
              </w:rPr>
            </w:pPr>
            <w:r w:rsidRPr="001C3877">
              <w:rPr>
                <w:b/>
                <w:i/>
              </w:rPr>
              <w:t>«</w:t>
            </w:r>
            <w:r w:rsidR="00D61477">
              <w:rPr>
                <w:b/>
                <w:i/>
              </w:rPr>
              <w:t>16</w:t>
            </w:r>
            <w:r w:rsidR="001C3877" w:rsidRPr="001C3877">
              <w:rPr>
                <w:b/>
                <w:i/>
              </w:rPr>
              <w:t xml:space="preserve">» </w:t>
            </w:r>
            <w:r w:rsidR="00D61477">
              <w:rPr>
                <w:b/>
                <w:i/>
              </w:rPr>
              <w:t>декабря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70AACDF2" w:rsidR="007F6664" w:rsidRPr="008854F8" w:rsidRDefault="001C3877" w:rsidP="00D61477">
            <w:pPr>
              <w:widowControl w:val="0"/>
              <w:spacing w:before="0"/>
              <w:rPr>
                <w:rStyle w:val="af8"/>
                <w:rFonts w:eastAsia="Lucida Sans Unicode"/>
                <w:kern w:val="1"/>
              </w:rPr>
            </w:pPr>
            <w:r w:rsidRPr="001C3877">
              <w:rPr>
                <w:b/>
                <w:i/>
              </w:rPr>
              <w:t>«</w:t>
            </w:r>
            <w:r w:rsidR="00D61477">
              <w:rPr>
                <w:b/>
                <w:i/>
              </w:rPr>
              <w:t>26</w:t>
            </w:r>
            <w:r w:rsidRPr="001C3877">
              <w:rPr>
                <w:b/>
                <w:i/>
              </w:rPr>
              <w:t xml:space="preserve">» </w:t>
            </w:r>
            <w:r w:rsidR="00D61477">
              <w:rPr>
                <w:b/>
                <w:i/>
              </w:rPr>
              <w:t>декабря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78202D4" w:rsidR="005F327D" w:rsidRPr="00152254" w:rsidRDefault="00152254" w:rsidP="00D61477">
            <w:pPr>
              <w:pStyle w:val="afa"/>
              <w:tabs>
                <w:tab w:val="clear" w:pos="1134"/>
                <w:tab w:val="left" w:pos="567"/>
              </w:tabs>
              <w:spacing w:before="120" w:after="120"/>
              <w:rPr>
                <w:b/>
                <w:i/>
                <w:szCs w:val="28"/>
              </w:rPr>
            </w:pPr>
            <w:r w:rsidRPr="00152254">
              <w:rPr>
                <w:b/>
                <w:i/>
              </w:rPr>
              <w:t>«</w:t>
            </w:r>
            <w:r w:rsidR="00D61477">
              <w:rPr>
                <w:b/>
                <w:i/>
              </w:rPr>
              <w:t>20</w:t>
            </w:r>
            <w:r w:rsidRPr="00152254">
              <w:rPr>
                <w:b/>
                <w:i/>
              </w:rPr>
              <w:t>»</w:t>
            </w:r>
            <w:r w:rsidR="00B56BC8">
              <w:rPr>
                <w:b/>
                <w:i/>
              </w:rPr>
              <w:t xml:space="preserve"> </w:t>
            </w:r>
            <w:r w:rsidR="00D61477">
              <w:rPr>
                <w:b/>
                <w:i/>
              </w:rPr>
              <w:t>января</w:t>
            </w:r>
            <w:r w:rsidRPr="00152254">
              <w:rPr>
                <w:b/>
                <w:i/>
              </w:rPr>
              <w:t xml:space="preserve"> 20</w:t>
            </w:r>
            <w:r w:rsidR="00D61477">
              <w:rPr>
                <w:b/>
                <w:i/>
              </w:rPr>
              <w:t>20</w:t>
            </w:r>
            <w:r w:rsidRPr="00152254">
              <w:rPr>
                <w:b/>
                <w:i/>
              </w:rP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7A2ECA81" w:rsidR="00D34C50" w:rsidRDefault="00152254" w:rsidP="004B4F68">
            <w:pPr>
              <w:widowControl w:val="0"/>
              <w:spacing w:after="120"/>
            </w:pPr>
            <w:r w:rsidRPr="00152254">
              <w:rPr>
                <w:b/>
                <w:i/>
              </w:rPr>
              <w:t>«</w:t>
            </w:r>
            <w:r w:rsidR="004B4F68">
              <w:rPr>
                <w:b/>
                <w:i/>
              </w:rPr>
              <w:t>22</w:t>
            </w:r>
            <w:r w:rsidRPr="00152254">
              <w:rPr>
                <w:b/>
                <w:i/>
              </w:rPr>
              <w:t xml:space="preserve">» </w:t>
            </w:r>
            <w:r w:rsidR="004B4F68">
              <w:rPr>
                <w:b/>
                <w:i/>
              </w:rPr>
              <w:t>января</w:t>
            </w:r>
            <w:r w:rsidRPr="00152254">
              <w:rPr>
                <w:b/>
                <w:i/>
              </w:rPr>
              <w:t xml:space="preserve"> 20</w:t>
            </w:r>
            <w:r w:rsidR="00FC2AC8">
              <w:rPr>
                <w:b/>
                <w:i/>
              </w:rPr>
              <w:t>20</w:t>
            </w:r>
            <w:r w:rsidRPr="00152254">
              <w:rPr>
                <w:b/>
                <w:i/>
              </w:rPr>
              <w:t xml:space="preserve"> г.</w:t>
            </w:r>
            <w:r w:rsidR="00BA278A" w:rsidRPr="00853A6E">
              <w:t xml:space="preserve"> </w:t>
            </w:r>
            <w:r w:rsidR="00BA278A" w:rsidRPr="00152254">
              <w:rPr>
                <w:b/>
                <w:i/>
              </w:rPr>
              <w:t>в </w:t>
            </w:r>
            <w:r>
              <w:rPr>
                <w:b/>
                <w:i/>
              </w:rPr>
              <w:t xml:space="preserve"> </w:t>
            </w:r>
            <w:r w:rsidRPr="00152254">
              <w:rPr>
                <w:b/>
                <w:i/>
              </w:rPr>
              <w:t>09</w:t>
            </w:r>
            <w:r w:rsidR="00BA278A" w:rsidRPr="00152254">
              <w:rPr>
                <w:b/>
                <w:i/>
              </w:rPr>
              <w:t xml:space="preserve"> ч. </w:t>
            </w:r>
            <w:r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t>Дата окончания рассмотрения вторых частей заявок:</w:t>
            </w:r>
          </w:p>
          <w:p w14:paraId="13E0E1AE" w14:textId="0A0073DF" w:rsidR="0075535C" w:rsidRDefault="000F251F" w:rsidP="004B4F68">
            <w:pPr>
              <w:pStyle w:val="afa"/>
              <w:tabs>
                <w:tab w:val="clear" w:pos="1134"/>
                <w:tab w:val="left" w:pos="567"/>
              </w:tabs>
              <w:spacing w:before="0" w:after="120"/>
              <w:rPr>
                <w:szCs w:val="26"/>
              </w:rPr>
            </w:pPr>
            <w:r>
              <w:rPr>
                <w:b/>
                <w:i/>
              </w:rPr>
              <w:t>«</w:t>
            </w:r>
            <w:r w:rsidR="00FC2AC8">
              <w:rPr>
                <w:b/>
                <w:i/>
              </w:rPr>
              <w:t>0</w:t>
            </w:r>
            <w:r w:rsidR="004B4F68">
              <w:rPr>
                <w:b/>
                <w:i/>
              </w:rPr>
              <w:t>7</w:t>
            </w:r>
            <w:r w:rsidR="00C873BA" w:rsidRPr="00152254">
              <w:rPr>
                <w:b/>
                <w:i/>
              </w:rPr>
              <w:t xml:space="preserve">» </w:t>
            </w:r>
            <w:r w:rsidR="00FC2AC8">
              <w:rPr>
                <w:b/>
                <w:i/>
              </w:rPr>
              <w:t>февраля</w:t>
            </w:r>
            <w:r w:rsidR="00C873BA" w:rsidRPr="00152254">
              <w:rPr>
                <w:b/>
                <w:i/>
              </w:rPr>
              <w:t xml:space="preserve"> 20</w:t>
            </w:r>
            <w:r w:rsidR="00FC2AC8">
              <w:rPr>
                <w:b/>
                <w:i/>
              </w:rPr>
              <w:t>20</w:t>
            </w:r>
            <w:r w:rsidR="00C873BA" w:rsidRPr="00152254">
              <w:rPr>
                <w:b/>
                <w:i/>
              </w:rPr>
              <w:t xml:space="preserve">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28F5E65" w:rsidR="00431A10" w:rsidRPr="00F54AF5" w:rsidRDefault="00C873BA" w:rsidP="00FC2AC8">
            <w:pPr>
              <w:pStyle w:val="afa"/>
              <w:tabs>
                <w:tab w:val="clear" w:pos="1134"/>
                <w:tab w:val="left" w:pos="567"/>
              </w:tabs>
              <w:spacing w:before="0" w:after="120"/>
              <w:rPr>
                <w:szCs w:val="28"/>
              </w:rPr>
            </w:pPr>
            <w:r>
              <w:rPr>
                <w:b/>
                <w:i/>
              </w:rPr>
              <w:t>«</w:t>
            </w:r>
            <w:r w:rsidR="00FC2AC8">
              <w:rPr>
                <w:b/>
                <w:i/>
              </w:rPr>
              <w:t>17</w:t>
            </w:r>
            <w:r w:rsidRPr="00152254">
              <w:rPr>
                <w:b/>
                <w:i/>
              </w:rPr>
              <w:t xml:space="preserve">» </w:t>
            </w:r>
            <w:r w:rsidR="00FC2AC8">
              <w:rPr>
                <w:b/>
                <w:i/>
              </w:rPr>
              <w:t>февраля</w:t>
            </w:r>
            <w:r w:rsidRPr="00152254">
              <w:rPr>
                <w:b/>
                <w:i/>
              </w:rPr>
              <w:t xml:space="preserve"> 20</w:t>
            </w:r>
            <w:r w:rsidR="00FC2AC8">
              <w:rPr>
                <w:b/>
                <w:i/>
              </w:rPr>
              <w:t>20</w:t>
            </w:r>
            <w:r w:rsidRPr="00152254">
              <w:rPr>
                <w:b/>
                <w:i/>
              </w:rPr>
              <w:t xml:space="preserve">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7993348"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2AEB8" w14:textId="77777777" w:rsidR="00D03E1E" w:rsidRDefault="00D03E1E">
      <w:r>
        <w:separator/>
      </w:r>
    </w:p>
  </w:endnote>
  <w:endnote w:type="continuationSeparator" w:id="0">
    <w:p w14:paraId="058350F6" w14:textId="77777777" w:rsidR="00D03E1E" w:rsidRDefault="00D03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2D46E8BF" w:rsidR="00D61477" w:rsidRDefault="00D6147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306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306B">
      <w:rPr>
        <w:i/>
        <w:noProof/>
        <w:sz w:val="24"/>
        <w:szCs w:val="24"/>
      </w:rPr>
      <w:t>128</w:t>
    </w:r>
    <w:r w:rsidRPr="00B54ABF">
      <w:rPr>
        <w:i/>
        <w:sz w:val="24"/>
        <w:szCs w:val="24"/>
      </w:rPr>
      <w:fldChar w:fldCharType="end"/>
    </w:r>
  </w:p>
  <w:p w14:paraId="3DFB0859" w14:textId="77777777" w:rsidR="00D61477" w:rsidRDefault="00D61477">
    <w:pPr>
      <w:pStyle w:val="a7"/>
    </w:pPr>
  </w:p>
  <w:p w14:paraId="627C048A" w14:textId="77777777" w:rsidR="00D61477" w:rsidRDefault="00D614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D61477" w:rsidRPr="00B54ABF" w:rsidRDefault="00D61477" w:rsidP="00B54ABF">
    <w:pPr>
      <w:tabs>
        <w:tab w:val="right" w:pos="10260"/>
      </w:tabs>
      <w:rPr>
        <w:i/>
        <w:sz w:val="24"/>
        <w:szCs w:val="24"/>
      </w:rPr>
    </w:pPr>
    <w:r>
      <w:rPr>
        <w:sz w:val="20"/>
      </w:rPr>
      <w:tab/>
    </w:r>
  </w:p>
  <w:p w14:paraId="51A5FF55" w14:textId="77777777" w:rsidR="00D61477" w:rsidRPr="00B54ABF" w:rsidRDefault="00D61477" w:rsidP="00B54ABF">
    <w:pPr>
      <w:tabs>
        <w:tab w:val="right" w:pos="10260"/>
      </w:tabs>
      <w:rPr>
        <w:i/>
        <w:sz w:val="24"/>
        <w:szCs w:val="24"/>
      </w:rPr>
    </w:pPr>
  </w:p>
  <w:p w14:paraId="684153F1" w14:textId="7D56C8F3" w:rsidR="00D61477" w:rsidRDefault="00D6147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306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306B">
      <w:rPr>
        <w:i/>
        <w:noProof/>
        <w:sz w:val="24"/>
        <w:szCs w:val="24"/>
      </w:rPr>
      <w:t>128</w:t>
    </w:r>
    <w:r w:rsidRPr="00B54ABF">
      <w:rPr>
        <w:i/>
        <w:sz w:val="24"/>
        <w:szCs w:val="24"/>
      </w:rPr>
      <w:fldChar w:fldCharType="end"/>
    </w:r>
  </w:p>
  <w:p w14:paraId="2D3E2C41" w14:textId="77777777" w:rsidR="00D61477" w:rsidRDefault="00D6147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F0AC29A" w:rsidR="00D61477" w:rsidRDefault="00D6147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306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306B">
      <w:rPr>
        <w:i/>
        <w:noProof/>
        <w:sz w:val="24"/>
        <w:szCs w:val="24"/>
      </w:rPr>
      <w:t>128</w:t>
    </w:r>
    <w:r w:rsidRPr="00B54ABF">
      <w:rPr>
        <w:i/>
        <w:sz w:val="24"/>
        <w:szCs w:val="24"/>
      </w:rPr>
      <w:fldChar w:fldCharType="end"/>
    </w:r>
  </w:p>
  <w:p w14:paraId="178A4A24" w14:textId="77777777" w:rsidR="00D61477" w:rsidRDefault="00D61477">
    <w:pPr>
      <w:pStyle w:val="a7"/>
    </w:pPr>
  </w:p>
  <w:p w14:paraId="2F4B0C50" w14:textId="77777777" w:rsidR="00D61477" w:rsidRDefault="00D6147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61477" w:rsidRPr="00B54ABF" w:rsidRDefault="00D61477" w:rsidP="00B54ABF">
    <w:pPr>
      <w:tabs>
        <w:tab w:val="right" w:pos="10260"/>
      </w:tabs>
      <w:rPr>
        <w:i/>
        <w:sz w:val="24"/>
        <w:szCs w:val="24"/>
      </w:rPr>
    </w:pPr>
    <w:r>
      <w:rPr>
        <w:sz w:val="20"/>
      </w:rPr>
      <w:tab/>
    </w:r>
  </w:p>
  <w:p w14:paraId="0F135095" w14:textId="77777777" w:rsidR="00D61477" w:rsidRPr="00B54ABF" w:rsidRDefault="00D61477" w:rsidP="00B54ABF">
    <w:pPr>
      <w:tabs>
        <w:tab w:val="right" w:pos="10260"/>
      </w:tabs>
      <w:rPr>
        <w:i/>
        <w:sz w:val="24"/>
        <w:szCs w:val="24"/>
      </w:rPr>
    </w:pPr>
  </w:p>
  <w:p w14:paraId="5F278EC7" w14:textId="385BD216" w:rsidR="00D61477" w:rsidRDefault="00D6147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306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306B">
      <w:rPr>
        <w:i/>
        <w:noProof/>
        <w:sz w:val="24"/>
        <w:szCs w:val="24"/>
      </w:rPr>
      <w:t>128</w:t>
    </w:r>
    <w:r w:rsidRPr="00B54ABF">
      <w:rPr>
        <w:i/>
        <w:sz w:val="24"/>
        <w:szCs w:val="24"/>
      </w:rPr>
      <w:fldChar w:fldCharType="end"/>
    </w:r>
  </w:p>
  <w:p w14:paraId="730720D1" w14:textId="77777777" w:rsidR="00D61477" w:rsidRDefault="00D614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37831" w14:textId="77777777" w:rsidR="00D03E1E" w:rsidRDefault="00D03E1E">
      <w:r>
        <w:separator/>
      </w:r>
    </w:p>
  </w:footnote>
  <w:footnote w:type="continuationSeparator" w:id="0">
    <w:p w14:paraId="5BA6FF92" w14:textId="77777777" w:rsidR="00D03E1E" w:rsidRDefault="00D03E1E">
      <w:r>
        <w:continuationSeparator/>
      </w:r>
    </w:p>
  </w:footnote>
  <w:footnote w:id="1">
    <w:p w14:paraId="58A2FD63" w14:textId="4AC3C406" w:rsidR="00D61477" w:rsidRDefault="00D61477">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D61477" w:rsidRDefault="00D6147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D61477" w:rsidRDefault="00D61477">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D61477" w:rsidRDefault="00D61477"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D61477" w:rsidRDefault="00D6147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D61477" w:rsidRDefault="00D6147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D61477" w:rsidRDefault="00D61477">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D61477" w:rsidRDefault="00D61477">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D61477" w:rsidRDefault="00D61477">
      <w:pPr>
        <w:pStyle w:val="ae"/>
      </w:pPr>
      <w:r>
        <w:rPr>
          <w:rStyle w:val="a9"/>
        </w:rPr>
        <w:footnoteRef/>
      </w:r>
      <w:r>
        <w:t xml:space="preserve"> Опись составляется отдельно для каждой части заявки.</w:t>
      </w:r>
    </w:p>
  </w:footnote>
  <w:footnote w:id="10">
    <w:p w14:paraId="01D2B5B7" w14:textId="77777777" w:rsidR="00D61477" w:rsidRDefault="00D6147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D61477" w:rsidRDefault="00D6147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D61477" w:rsidRDefault="00D6147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D61477" w:rsidRDefault="00D61477"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D61477" w:rsidRDefault="00D61477"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D61477" w:rsidRDefault="00D61477"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D61477" w:rsidRDefault="00D6147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D61477" w:rsidRDefault="00D6147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D61477" w:rsidRDefault="00D6147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D61477" w:rsidRDefault="00D61477"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D61477" w:rsidRDefault="00D61477"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D61477" w:rsidRDefault="00D6147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D61477" w:rsidRDefault="00D6147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D61477" w:rsidRDefault="00D6147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D61477" w:rsidRDefault="00D6147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D61477" w:rsidRDefault="00D6147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D61477" w:rsidRDefault="00D61477">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D61477" w:rsidRDefault="00D6147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D61477" w:rsidRDefault="00D6147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D61477" w:rsidRDefault="00D6147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D61477" w:rsidRDefault="00D6147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D61477" w:rsidRDefault="00D61477">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D61477" w:rsidRDefault="00D6147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D61477" w:rsidRDefault="00D61477">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D61477" w:rsidRDefault="00D6147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D61477" w:rsidRDefault="00D61477"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D61477" w:rsidRDefault="00D61477"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D61477" w:rsidRDefault="00D61477">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D61477" w:rsidRDefault="00D61477"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D61477" w:rsidRDefault="00D61477"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D61477" w:rsidRDefault="00D6147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D61477" w:rsidRPr="00033B77" w:rsidRDefault="00D6147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D61477" w:rsidRDefault="00D61477">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D61477" w:rsidRDefault="00D6147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3A1"/>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60F"/>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2C2"/>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27DE1"/>
    <w:rsid w:val="0033005B"/>
    <w:rsid w:val="00330091"/>
    <w:rsid w:val="00330A98"/>
    <w:rsid w:val="0033106A"/>
    <w:rsid w:val="003310C1"/>
    <w:rsid w:val="00331C90"/>
    <w:rsid w:val="0033221F"/>
    <w:rsid w:val="00332648"/>
    <w:rsid w:val="00332787"/>
    <w:rsid w:val="00332A7E"/>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25C"/>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32A"/>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4F68"/>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78"/>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29CB"/>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6DE"/>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CC5"/>
    <w:rsid w:val="00745DC1"/>
    <w:rsid w:val="0074688D"/>
    <w:rsid w:val="00746EBE"/>
    <w:rsid w:val="00750448"/>
    <w:rsid w:val="00750790"/>
    <w:rsid w:val="00750A39"/>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4F12"/>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CA2"/>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1BF"/>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57155"/>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B2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06B"/>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008"/>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4578"/>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B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6BC8"/>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3E1E"/>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18F"/>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47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ECB"/>
    <w:rsid w:val="00EA58A4"/>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2C6"/>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0DAD"/>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0FBF"/>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2AC8"/>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8C5"/>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A75F1-6037-4996-8BA4-EBBA5756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128</Pages>
  <Words>32613</Words>
  <Characters>185899</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218076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98</cp:revision>
  <cp:lastPrinted>2017-12-27T16:39:00Z</cp:lastPrinted>
  <dcterms:created xsi:type="dcterms:W3CDTF">2019-03-12T06:52:00Z</dcterms:created>
  <dcterms:modified xsi:type="dcterms:W3CDTF">2019-12-16T00:23:00Z</dcterms:modified>
</cp:coreProperties>
</file>