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681850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403DC335" wp14:editId="1C76A64B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81850">
        <w:rPr>
          <w:b/>
          <w:bCs/>
          <w:sz w:val="36"/>
          <w:szCs w:val="36"/>
        </w:rPr>
        <w:t>211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81850" w:rsidRDefault="00681850" w:rsidP="0021550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8259C">
        <w:rPr>
          <w:b/>
          <w:i/>
          <w:sz w:val="26"/>
          <w:szCs w:val="26"/>
        </w:rPr>
        <w:t xml:space="preserve">Ремонт ВЛ-35 </w:t>
      </w:r>
      <w:proofErr w:type="spellStart"/>
      <w:r w:rsidRPr="0088259C">
        <w:rPr>
          <w:b/>
          <w:i/>
          <w:sz w:val="26"/>
          <w:szCs w:val="26"/>
        </w:rPr>
        <w:t>кВ</w:t>
      </w:r>
      <w:proofErr w:type="spellEnd"/>
      <w:r w:rsidRPr="0088259C">
        <w:rPr>
          <w:b/>
          <w:i/>
          <w:sz w:val="26"/>
          <w:szCs w:val="26"/>
        </w:rPr>
        <w:t xml:space="preserve"> </w:t>
      </w:r>
      <w:proofErr w:type="spellStart"/>
      <w:r w:rsidRPr="0088259C">
        <w:rPr>
          <w:b/>
          <w:i/>
          <w:sz w:val="26"/>
          <w:szCs w:val="26"/>
        </w:rPr>
        <w:t>Бузули</w:t>
      </w:r>
      <w:proofErr w:type="spellEnd"/>
      <w:r w:rsidRPr="0088259C">
        <w:rPr>
          <w:b/>
          <w:i/>
          <w:sz w:val="26"/>
          <w:szCs w:val="26"/>
        </w:rPr>
        <w:t>-Заводская, Шимановск-Мухино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81850" w:rsidRDefault="00681850" w:rsidP="0068185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28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A0787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81850">
              <w:rPr>
                <w:b/>
                <w:bCs/>
                <w:caps/>
                <w:sz w:val="24"/>
              </w:rPr>
              <w:t>1</w:t>
            </w:r>
            <w:r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81850"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681850" w:rsidRDefault="00681850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bookmarkStart w:id="2" w:name="_GoBack"/>
      <w:bookmarkEnd w:id="2"/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681850" w:rsidRPr="00681850">
        <w:rPr>
          <w:b/>
          <w:i/>
          <w:sz w:val="24"/>
        </w:rPr>
        <w:t xml:space="preserve">Ремонт ВЛ-35 </w:t>
      </w:r>
      <w:proofErr w:type="spellStart"/>
      <w:r w:rsidR="00681850" w:rsidRPr="00681850">
        <w:rPr>
          <w:b/>
          <w:i/>
          <w:sz w:val="24"/>
        </w:rPr>
        <w:t>кВ</w:t>
      </w:r>
      <w:proofErr w:type="spellEnd"/>
      <w:r w:rsidR="00681850" w:rsidRPr="00681850">
        <w:rPr>
          <w:b/>
          <w:i/>
          <w:sz w:val="24"/>
        </w:rPr>
        <w:t xml:space="preserve"> </w:t>
      </w:r>
      <w:proofErr w:type="spellStart"/>
      <w:r w:rsidR="00681850" w:rsidRPr="00681850">
        <w:rPr>
          <w:b/>
          <w:i/>
          <w:sz w:val="24"/>
        </w:rPr>
        <w:t>Бузули</w:t>
      </w:r>
      <w:proofErr w:type="spellEnd"/>
      <w:r w:rsidR="00681850" w:rsidRPr="00681850">
        <w:rPr>
          <w:b/>
          <w:i/>
          <w:sz w:val="24"/>
        </w:rPr>
        <w:t>-Заводская, Шимановск-Мухино</w:t>
      </w:r>
      <w:r w:rsidR="004223C3" w:rsidRPr="004223C3">
        <w:rPr>
          <w:b/>
          <w:bCs/>
          <w:i/>
          <w:sz w:val="24"/>
        </w:rPr>
        <w:t xml:space="preserve">» </w:t>
      </w:r>
      <w:r w:rsidR="00681850">
        <w:rPr>
          <w:sz w:val="24"/>
        </w:rPr>
        <w:t>(Лот № 28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681850" w:rsidRPr="0017392F" w:rsidTr="004223C3">
        <w:trPr>
          <w:trHeight w:val="274"/>
        </w:trPr>
        <w:tc>
          <w:tcPr>
            <w:tcW w:w="567" w:type="dxa"/>
            <w:vAlign w:val="center"/>
          </w:tcPr>
          <w:p w:rsidR="00681850" w:rsidRPr="0017392F" w:rsidRDefault="00681850" w:rsidP="0068185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81850" w:rsidRPr="007246E4" w:rsidRDefault="00681850" w:rsidP="006818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26.11.2019 03:04</w:t>
            </w:r>
          </w:p>
        </w:tc>
        <w:tc>
          <w:tcPr>
            <w:tcW w:w="6378" w:type="dxa"/>
            <w:vAlign w:val="center"/>
          </w:tcPr>
          <w:p w:rsidR="00681850" w:rsidRPr="007246E4" w:rsidRDefault="00681850" w:rsidP="006818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681850" w:rsidRPr="0017392F" w:rsidTr="004223C3">
        <w:trPr>
          <w:trHeight w:val="279"/>
        </w:trPr>
        <w:tc>
          <w:tcPr>
            <w:tcW w:w="567" w:type="dxa"/>
            <w:vAlign w:val="center"/>
          </w:tcPr>
          <w:p w:rsidR="00681850" w:rsidRPr="0017392F" w:rsidRDefault="00681850" w:rsidP="0068185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81850" w:rsidRPr="007246E4" w:rsidRDefault="00681850" w:rsidP="006818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02:34</w:t>
            </w:r>
          </w:p>
        </w:tc>
        <w:tc>
          <w:tcPr>
            <w:tcW w:w="6378" w:type="dxa"/>
            <w:vAlign w:val="center"/>
          </w:tcPr>
          <w:p w:rsidR="00681850" w:rsidRPr="007246E4" w:rsidRDefault="00681850" w:rsidP="006818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</w:t>
            </w:r>
            <w:proofErr w:type="spellStart"/>
            <w:r w:rsidRPr="007246E4">
              <w:rPr>
                <w:sz w:val="24"/>
                <w:szCs w:val="24"/>
              </w:rPr>
              <w:t>Амуртрасстрой</w:t>
            </w:r>
            <w:proofErr w:type="spellEnd"/>
            <w:r w:rsidRPr="007246E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2801161807/280101001 </w:t>
            </w:r>
          </w:p>
        </w:tc>
      </w:tr>
      <w:tr w:rsidR="00681850" w:rsidRPr="0017392F" w:rsidTr="004223C3">
        <w:trPr>
          <w:trHeight w:val="279"/>
        </w:trPr>
        <w:tc>
          <w:tcPr>
            <w:tcW w:w="567" w:type="dxa"/>
            <w:vAlign w:val="center"/>
          </w:tcPr>
          <w:p w:rsidR="00681850" w:rsidRPr="0017392F" w:rsidRDefault="00681850" w:rsidP="0068185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81850" w:rsidRPr="007246E4" w:rsidRDefault="00681850" w:rsidP="006818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04:23</w:t>
            </w:r>
          </w:p>
        </w:tc>
        <w:tc>
          <w:tcPr>
            <w:tcW w:w="6378" w:type="dxa"/>
            <w:vAlign w:val="center"/>
          </w:tcPr>
          <w:p w:rsidR="00681850" w:rsidRPr="007246E4" w:rsidRDefault="00681850" w:rsidP="006818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81850" w:rsidRPr="00116F01" w:rsidRDefault="00681850" w:rsidP="0068185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681850" w:rsidRPr="006F6A17" w:rsidRDefault="00681850" w:rsidP="0068185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Pr="0088259C">
        <w:rPr>
          <w:bCs/>
          <w:iCs/>
          <w:sz w:val="24"/>
        </w:rPr>
        <w:t>ООО «</w:t>
      </w:r>
      <w:proofErr w:type="spellStart"/>
      <w:r w:rsidRPr="0088259C">
        <w:rPr>
          <w:bCs/>
          <w:iCs/>
          <w:sz w:val="24"/>
        </w:rPr>
        <w:t>АмурТрансСтрой</w:t>
      </w:r>
      <w:proofErr w:type="spellEnd"/>
      <w:r w:rsidRPr="0088259C">
        <w:rPr>
          <w:bCs/>
          <w:iCs/>
          <w:sz w:val="24"/>
        </w:rPr>
        <w:t xml:space="preserve">» </w:t>
      </w:r>
    </w:p>
    <w:p w:rsidR="00681850" w:rsidRDefault="00681850" w:rsidP="0068185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681850" w:rsidRPr="00AD5CF0" w:rsidRDefault="00681850" w:rsidP="0068185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81850" w:rsidRDefault="0068185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1850" w:rsidRPr="00455714" w:rsidRDefault="00681850" w:rsidP="0068185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81850" w:rsidRPr="00455714" w:rsidRDefault="00681850" w:rsidP="0068185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81850" w:rsidRPr="00664D4C" w:rsidTr="0021550F">
        <w:trPr>
          <w:trHeight w:val="423"/>
          <w:tblHeader/>
        </w:trPr>
        <w:tc>
          <w:tcPr>
            <w:tcW w:w="709" w:type="dxa"/>
            <w:vAlign w:val="center"/>
          </w:tcPr>
          <w:p w:rsidR="00681850" w:rsidRPr="00664D4C" w:rsidRDefault="00681850" w:rsidP="00215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81850" w:rsidRPr="00664D4C" w:rsidRDefault="00681850" w:rsidP="00215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81850" w:rsidRPr="00664D4C" w:rsidRDefault="00681850" w:rsidP="00215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81850" w:rsidRPr="00664D4C" w:rsidRDefault="00681850" w:rsidP="00215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81850" w:rsidRPr="00B82A7F" w:rsidRDefault="00681850" w:rsidP="00215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81850" w:rsidRPr="00664D4C" w:rsidTr="0021550F">
        <w:trPr>
          <w:trHeight w:val="424"/>
        </w:trPr>
        <w:tc>
          <w:tcPr>
            <w:tcW w:w="709" w:type="dxa"/>
            <w:vAlign w:val="center"/>
          </w:tcPr>
          <w:p w:rsidR="00681850" w:rsidRPr="00EA0DA8" w:rsidRDefault="00681850" w:rsidP="0021550F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26.11.2019 03:04</w:t>
            </w:r>
          </w:p>
        </w:tc>
        <w:tc>
          <w:tcPr>
            <w:tcW w:w="4678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2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3 162 615,00</w:t>
            </w:r>
          </w:p>
        </w:tc>
      </w:tr>
      <w:tr w:rsidR="00681850" w:rsidRPr="00664D4C" w:rsidTr="0021550F">
        <w:trPr>
          <w:trHeight w:val="424"/>
        </w:trPr>
        <w:tc>
          <w:tcPr>
            <w:tcW w:w="709" w:type="dxa"/>
            <w:vAlign w:val="center"/>
          </w:tcPr>
          <w:p w:rsidR="00681850" w:rsidRPr="00EA0DA8" w:rsidRDefault="00681850" w:rsidP="0021550F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02:34</w:t>
            </w:r>
          </w:p>
        </w:tc>
        <w:tc>
          <w:tcPr>
            <w:tcW w:w="4678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</w:t>
            </w:r>
            <w:proofErr w:type="spellStart"/>
            <w:r w:rsidRPr="007246E4">
              <w:rPr>
                <w:sz w:val="24"/>
                <w:szCs w:val="24"/>
              </w:rPr>
              <w:t>Амуртрасстрой</w:t>
            </w:r>
            <w:proofErr w:type="spellEnd"/>
            <w:r w:rsidRPr="007246E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2801161807/280101001 </w:t>
            </w:r>
          </w:p>
        </w:tc>
        <w:tc>
          <w:tcPr>
            <w:tcW w:w="212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3 193 500,00</w:t>
            </w:r>
          </w:p>
        </w:tc>
      </w:tr>
      <w:tr w:rsidR="00681850" w:rsidRPr="00664D4C" w:rsidTr="0021550F">
        <w:trPr>
          <w:trHeight w:val="424"/>
        </w:trPr>
        <w:tc>
          <w:tcPr>
            <w:tcW w:w="709" w:type="dxa"/>
            <w:vAlign w:val="center"/>
          </w:tcPr>
          <w:p w:rsidR="00681850" w:rsidRPr="00EA0DA8" w:rsidRDefault="00681850" w:rsidP="0021550F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04:23</w:t>
            </w:r>
          </w:p>
        </w:tc>
        <w:tc>
          <w:tcPr>
            <w:tcW w:w="4678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212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3 193 400,00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1850" w:rsidRPr="00850C74" w:rsidRDefault="00681850" w:rsidP="00681850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7246E4">
        <w:rPr>
          <w:sz w:val="24"/>
          <w:szCs w:val="24"/>
        </w:rPr>
        <w:t>ООО "</w:t>
      </w:r>
      <w:proofErr w:type="spellStart"/>
      <w:r w:rsidRPr="007246E4">
        <w:rPr>
          <w:sz w:val="24"/>
          <w:szCs w:val="24"/>
        </w:rPr>
        <w:t>Амуртрасстрой</w:t>
      </w:r>
      <w:proofErr w:type="spellEnd"/>
      <w:r w:rsidRPr="007246E4">
        <w:rPr>
          <w:sz w:val="24"/>
          <w:szCs w:val="24"/>
        </w:rPr>
        <w:t>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а), </w:t>
      </w:r>
      <w:r w:rsidRPr="00850C74">
        <w:rPr>
          <w:sz w:val="24"/>
          <w:szCs w:val="24"/>
        </w:rPr>
        <w:t>б) п. 4.9.6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072"/>
      </w:tblGrid>
      <w:tr w:rsidR="00681850" w:rsidRPr="008F309A" w:rsidTr="0021550F">
        <w:tc>
          <w:tcPr>
            <w:tcW w:w="596" w:type="dxa"/>
            <w:vAlign w:val="center"/>
          </w:tcPr>
          <w:p w:rsidR="00681850" w:rsidRPr="00117A4C" w:rsidRDefault="00681850" w:rsidP="0021550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681850" w:rsidRPr="008F309A" w:rsidRDefault="00681850" w:rsidP="002155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1850" w:rsidRPr="008F309A" w:rsidTr="0021550F">
        <w:tc>
          <w:tcPr>
            <w:tcW w:w="596" w:type="dxa"/>
          </w:tcPr>
          <w:p w:rsidR="00681850" w:rsidRDefault="00681850" w:rsidP="00681850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81850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 w:rsidRPr="007101C6">
              <w:rPr>
                <w:rFonts w:eastAsia="MS Mincho"/>
                <w:sz w:val="24"/>
                <w:szCs w:val="24"/>
              </w:rPr>
              <w:t>Отсутствует выписка из реестра членов саморегулируемой организации полученная не более чем за месяц до даты подачи заявки Участника</w:t>
            </w:r>
            <w:r>
              <w:rPr>
                <w:rFonts w:eastAsia="MS Mincho"/>
                <w:sz w:val="24"/>
                <w:szCs w:val="24"/>
              </w:rPr>
              <w:t xml:space="preserve">, что не соответствует </w:t>
            </w:r>
            <w:r w:rsidRPr="00950485">
              <w:rPr>
                <w:rFonts w:eastAsia="MS Mincho"/>
                <w:sz w:val="24"/>
                <w:szCs w:val="24"/>
              </w:rPr>
              <w:t>требовани</w:t>
            </w:r>
            <w:r>
              <w:rPr>
                <w:rFonts w:eastAsia="MS Mincho"/>
                <w:sz w:val="24"/>
                <w:szCs w:val="24"/>
              </w:rPr>
              <w:t>ям</w:t>
            </w:r>
            <w:r w:rsidRPr="00950485">
              <w:rPr>
                <w:rFonts w:eastAsia="MS Mincho"/>
                <w:sz w:val="24"/>
                <w:szCs w:val="24"/>
              </w:rPr>
              <w:t xml:space="preserve"> п. 8.1. технического задания.</w:t>
            </w:r>
          </w:p>
          <w:p w:rsidR="00681850" w:rsidRPr="0088259C" w:rsidRDefault="00681850" w:rsidP="0021550F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413">
              <w:rPr>
                <w:rFonts w:ascii="Times New Roman" w:hAnsi="Times New Roman" w:cs="Times New Roman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8259C">
              <w:rPr>
                <w:rFonts w:ascii="Times New Roman" w:hAnsi="Times New Roman" w:cs="Times New Roman"/>
                <w:sz w:val="24"/>
                <w:szCs w:val="24"/>
              </w:rPr>
              <w:t>После дополнительного запроса Участником предоставлена выписка из реестра членов саморегулируемой организации, которая не дает Участнику права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энергии), что не соответствует требованиям п. 8.1. технического задания и является достаточным основанием для отклонения предложения данного Участника.</w:t>
            </w:r>
          </w:p>
        </w:tc>
      </w:tr>
      <w:tr w:rsidR="00681850" w:rsidRPr="008F309A" w:rsidTr="0021550F">
        <w:tc>
          <w:tcPr>
            <w:tcW w:w="596" w:type="dxa"/>
          </w:tcPr>
          <w:p w:rsidR="00681850" w:rsidRDefault="00681850" w:rsidP="00681850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681850" w:rsidRPr="00950485" w:rsidRDefault="00681850" w:rsidP="0021550F">
            <w:pPr>
              <w:widowControl w:val="0"/>
              <w:tabs>
                <w:tab w:val="left" w:pos="993"/>
                <w:tab w:val="left" w:pos="1260"/>
                <w:tab w:val="num" w:pos="2160"/>
              </w:tabs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9A33A3">
              <w:rPr>
                <w:rFonts w:eastAsia="MS Mincho"/>
                <w:sz w:val="24"/>
                <w:szCs w:val="24"/>
              </w:rPr>
              <w:t xml:space="preserve">Отсутствует </w:t>
            </w:r>
            <w:r>
              <w:rPr>
                <w:sz w:val="24"/>
                <w:szCs w:val="24"/>
              </w:rPr>
              <w:t>копия</w:t>
            </w:r>
            <w:r w:rsidRPr="009A33A3">
              <w:rPr>
                <w:sz w:val="24"/>
                <w:szCs w:val="24"/>
              </w:rPr>
              <w:t xml:space="preserve"> свидетельства о регистрации электротехнической лаборатории в органах </w:t>
            </w:r>
            <w:proofErr w:type="spellStart"/>
            <w:r w:rsidRPr="00950485">
              <w:rPr>
                <w:sz w:val="24"/>
                <w:szCs w:val="24"/>
              </w:rPr>
              <w:t>Ростехнадзора</w:t>
            </w:r>
            <w:proofErr w:type="spellEnd"/>
            <w:r w:rsidRPr="00950485">
              <w:rPr>
                <w:rFonts w:eastAsia="MS Mincho"/>
                <w:sz w:val="24"/>
                <w:szCs w:val="24"/>
              </w:rPr>
              <w:t>, что не соответствует требовани</w:t>
            </w:r>
            <w:r>
              <w:rPr>
                <w:rFonts w:eastAsia="MS Mincho"/>
                <w:sz w:val="24"/>
                <w:szCs w:val="24"/>
              </w:rPr>
              <w:t>я</w:t>
            </w:r>
            <w:r w:rsidRPr="00950485">
              <w:rPr>
                <w:rFonts w:eastAsia="MS Mincho"/>
                <w:sz w:val="24"/>
                <w:szCs w:val="24"/>
              </w:rPr>
              <w:t>м п. 8</w:t>
            </w:r>
            <w:proofErr w:type="gramStart"/>
            <w:r w:rsidRPr="00950485">
              <w:rPr>
                <w:rFonts w:eastAsia="MS Mincho"/>
                <w:sz w:val="24"/>
                <w:szCs w:val="24"/>
              </w:rPr>
              <w:t>.</w:t>
            </w:r>
            <w:proofErr w:type="gramEnd"/>
            <w:r w:rsidRPr="00950485">
              <w:rPr>
                <w:rFonts w:eastAsia="MS Mincho"/>
                <w:sz w:val="24"/>
                <w:szCs w:val="24"/>
              </w:rPr>
              <w:t xml:space="preserve">2. технического задания в котором указано, что </w:t>
            </w:r>
            <w:r>
              <w:rPr>
                <w:sz w:val="24"/>
                <w:szCs w:val="24"/>
              </w:rPr>
              <w:t>в</w:t>
            </w:r>
            <w:r w:rsidRPr="00950485">
              <w:rPr>
                <w:sz w:val="24"/>
                <w:szCs w:val="24"/>
              </w:rPr>
              <w:t xml:space="preserve"> случае отсутствия собственной лаборатории, Участник вправе привлечь электротехническую лабораторию третьих лиц. Для этого, </w:t>
            </w:r>
            <w:r w:rsidRPr="00950485">
              <w:rPr>
                <w:b/>
                <w:sz w:val="24"/>
                <w:szCs w:val="24"/>
              </w:rPr>
              <w:t>помимо указанной копии свидетельства</w:t>
            </w:r>
            <w:r w:rsidRPr="00950485">
              <w:rPr>
                <w:sz w:val="24"/>
                <w:szCs w:val="24"/>
              </w:rPr>
              <w:t>, необходимо на выбор предоставить копию соглашения о намерениях заключить договор аренды/гарантийное письмо о заключении договора аренды, договор на оказание услуг по проведению электроизмерительных работ, соглашение о намерениях заключить договор на оказание услуг по проведению электроизмерительных работ/гарантийное письмо о заключении договора на оказание услуг по проведению электроизмерительных работ, договор аренды.</w:t>
            </w:r>
            <w:r>
              <w:rPr>
                <w:sz w:val="24"/>
                <w:szCs w:val="24"/>
              </w:rPr>
              <w:t xml:space="preserve"> Участник предоставил только договор об оказании услуг </w:t>
            </w:r>
            <w:proofErr w:type="spellStart"/>
            <w:r>
              <w:rPr>
                <w:sz w:val="24"/>
                <w:szCs w:val="24"/>
              </w:rPr>
              <w:t>электролаборатории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681850" w:rsidRPr="007101C6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MS Mincho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81850" w:rsidRDefault="00681850" w:rsidP="0068185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81850" w:rsidRPr="00950485" w:rsidRDefault="00681850" w:rsidP="00681850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"ПРОМЭЛЕКТРОСТРОЙ" ИНН/КПП 2807015739/280701001 ОГРН </w:t>
      </w:r>
      <w:r w:rsidRPr="00950485">
        <w:rPr>
          <w:sz w:val="24"/>
          <w:szCs w:val="24"/>
        </w:rPr>
        <w:t>1102807000559</w:t>
      </w:r>
    </w:p>
    <w:p w:rsidR="00681850" w:rsidRPr="00950485" w:rsidRDefault="00681850" w:rsidP="00681850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"ПОДРЯДЧИК ДВ" ИНН/КПП 2801209946/280101001 </w:t>
      </w:r>
      <w:r w:rsidRPr="00950485">
        <w:rPr>
          <w:sz w:val="24"/>
          <w:szCs w:val="24"/>
        </w:rPr>
        <w:t>ОГРН 1152801006115</w:t>
      </w:r>
    </w:p>
    <w:p w:rsidR="00681850" w:rsidRDefault="00681850" w:rsidP="0068185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81850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81850" w:rsidRPr="005C3954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681850" w:rsidRPr="00853FAA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36"/>
        <w:gridCol w:w="2552"/>
        <w:gridCol w:w="2193"/>
      </w:tblGrid>
      <w:tr w:rsidR="00681850" w:rsidRPr="00455714" w:rsidTr="00681850">
        <w:trPr>
          <w:trHeight w:val="420"/>
          <w:tblHeader/>
        </w:trPr>
        <w:tc>
          <w:tcPr>
            <w:tcW w:w="851" w:type="dxa"/>
            <w:vAlign w:val="center"/>
          </w:tcPr>
          <w:p w:rsidR="00681850" w:rsidRPr="00455714" w:rsidRDefault="00681850" w:rsidP="0021550F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81850" w:rsidRPr="00455714" w:rsidRDefault="00681850" w:rsidP="0021550F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136" w:type="dxa"/>
            <w:vAlign w:val="center"/>
          </w:tcPr>
          <w:p w:rsidR="00681850" w:rsidRPr="00455714" w:rsidRDefault="00681850" w:rsidP="0021550F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681850" w:rsidRPr="00B82A7F" w:rsidRDefault="00681850" w:rsidP="0021550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681850" w:rsidRPr="00930DBD" w:rsidRDefault="00681850" w:rsidP="0021550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681850" w:rsidRPr="00EC38FF" w:rsidTr="00681850">
        <w:trPr>
          <w:trHeight w:val="330"/>
        </w:trPr>
        <w:tc>
          <w:tcPr>
            <w:tcW w:w="851" w:type="dxa"/>
            <w:vAlign w:val="center"/>
          </w:tcPr>
          <w:p w:rsidR="00681850" w:rsidRPr="00173723" w:rsidRDefault="00681850" w:rsidP="0068185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552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3 162 615,00</w:t>
            </w:r>
          </w:p>
        </w:tc>
        <w:tc>
          <w:tcPr>
            <w:tcW w:w="2193" w:type="dxa"/>
            <w:vAlign w:val="center"/>
          </w:tcPr>
          <w:p w:rsidR="00681850" w:rsidRPr="002F7ABB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81850" w:rsidRPr="00455714" w:rsidTr="00681850">
        <w:trPr>
          <w:trHeight w:val="378"/>
        </w:trPr>
        <w:tc>
          <w:tcPr>
            <w:tcW w:w="851" w:type="dxa"/>
            <w:vAlign w:val="center"/>
          </w:tcPr>
          <w:p w:rsidR="00681850" w:rsidRPr="00455714" w:rsidRDefault="00681850" w:rsidP="0068185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6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2552" w:type="dxa"/>
            <w:vAlign w:val="center"/>
          </w:tcPr>
          <w:p w:rsidR="00681850" w:rsidRPr="007246E4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3 193 400,00</w:t>
            </w:r>
          </w:p>
        </w:tc>
        <w:tc>
          <w:tcPr>
            <w:tcW w:w="2193" w:type="dxa"/>
            <w:vAlign w:val="center"/>
          </w:tcPr>
          <w:p w:rsidR="00681850" w:rsidRPr="002F7ABB" w:rsidRDefault="00681850" w:rsidP="002155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81850" w:rsidRPr="00AD0DFB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681850" w:rsidRPr="00B67A74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681850" w:rsidRPr="00AD5CF0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lastRenderedPageBreak/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23.12</w:t>
      </w:r>
      <w:r w:rsidRPr="00AD5CF0">
        <w:rPr>
          <w:b/>
          <w:sz w:val="24"/>
          <w:szCs w:val="24"/>
        </w:rPr>
        <w:t xml:space="preserve">.2019 г. </w:t>
      </w:r>
    </w:p>
    <w:p w:rsidR="00681850" w:rsidRPr="00930DBD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681850" w:rsidRPr="00B67A74" w:rsidRDefault="00681850" w:rsidP="00681850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681850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54" w:rsidRDefault="00BD2354" w:rsidP="00355095">
      <w:pPr>
        <w:spacing w:line="240" w:lineRule="auto"/>
      </w:pPr>
      <w:r>
        <w:separator/>
      </w:r>
    </w:p>
  </w:endnote>
  <w:endnote w:type="continuationSeparator" w:id="0">
    <w:p w:rsidR="00BD2354" w:rsidRDefault="00BD235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8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185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54" w:rsidRDefault="00BD2354" w:rsidP="00355095">
      <w:pPr>
        <w:spacing w:line="240" w:lineRule="auto"/>
      </w:pPr>
      <w:r>
        <w:separator/>
      </w:r>
    </w:p>
  </w:footnote>
  <w:footnote w:type="continuationSeparator" w:id="0">
    <w:p w:rsidR="00BD2354" w:rsidRDefault="00BD235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681850">
      <w:rPr>
        <w:i/>
        <w:sz w:val="20"/>
      </w:rPr>
      <w:t>лот № 28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5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0"/>
  </w:num>
  <w:num w:numId="28">
    <w:abstractNumId w:val="29"/>
  </w:num>
  <w:num w:numId="29">
    <w:abstractNumId w:val="19"/>
  </w:num>
  <w:num w:numId="30">
    <w:abstractNumId w:val="28"/>
  </w:num>
  <w:num w:numId="31">
    <w:abstractNumId w:val="4"/>
  </w:num>
  <w:num w:numId="32">
    <w:abstractNumId w:val="14"/>
  </w:num>
  <w:num w:numId="33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850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2354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BACDF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208DB-B2D9-4B7F-B041-EFAD0855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2019-11-07T09:49:00Z</cp:lastPrinted>
  <dcterms:created xsi:type="dcterms:W3CDTF">2019-11-07T09:53:00Z</dcterms:created>
  <dcterms:modified xsi:type="dcterms:W3CDTF">2019-12-18T06:40:00Z</dcterms:modified>
</cp:coreProperties>
</file>