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D1CD0" w:rsidRDefault="009D1CD0" w:rsidP="009D1CD0">
      <w:pPr>
        <w:keepNext/>
        <w:spacing w:line="240" w:lineRule="auto"/>
        <w:ind w:firstLine="0"/>
        <w:outlineLvl w:val="2"/>
        <w:rPr>
          <w:szCs w:val="28"/>
        </w:rPr>
      </w:pPr>
    </w:p>
    <w:p w:rsidR="009C637C" w:rsidRPr="002E4379" w:rsidRDefault="009C637C" w:rsidP="009D1CD0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1CD0" w:rsidRPr="009D1CD0">
        <w:rPr>
          <w:b/>
          <w:bCs/>
          <w:caps/>
          <w:sz w:val="36"/>
          <w:szCs w:val="36"/>
        </w:rPr>
        <w:t>606/</w:t>
      </w:r>
      <w:proofErr w:type="spellStart"/>
      <w:r w:rsidR="009D1CD0" w:rsidRPr="009D1CD0">
        <w:rPr>
          <w:b/>
          <w:bCs/>
          <w:caps/>
          <w:sz w:val="36"/>
          <w:szCs w:val="36"/>
        </w:rPr>
        <w:t>МТП</w:t>
      </w:r>
      <w:r w:rsidR="009D1CD0" w:rsidRPr="009D1CD0">
        <w:rPr>
          <w:b/>
          <w:bCs/>
          <w:smallCaps/>
          <w:sz w:val="36"/>
          <w:szCs w:val="36"/>
        </w:rPr>
        <w:t>и</w:t>
      </w:r>
      <w:r w:rsidR="009D1CD0" w:rsidRPr="009D1CD0">
        <w:rPr>
          <w:b/>
          <w:bCs/>
          <w:caps/>
          <w:sz w:val="36"/>
          <w:szCs w:val="36"/>
        </w:rPr>
        <w:t>Р</w:t>
      </w:r>
      <w:proofErr w:type="spellEnd"/>
      <w:r w:rsidR="009D1CD0" w:rsidRPr="009D1CD0">
        <w:rPr>
          <w:b/>
          <w:bCs/>
          <w:caps/>
          <w:sz w:val="36"/>
          <w:szCs w:val="36"/>
        </w:rPr>
        <w:t>-Р</w:t>
      </w:r>
    </w:p>
    <w:p w:rsidR="00125B73" w:rsidRPr="009D1CD0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D1CD0">
        <w:rPr>
          <w:bCs/>
          <w:sz w:val="26"/>
          <w:szCs w:val="26"/>
        </w:rPr>
        <w:t>з</w:t>
      </w:r>
      <w:r w:rsidR="0039584F" w:rsidRPr="009D1CD0">
        <w:rPr>
          <w:bCs/>
          <w:sz w:val="26"/>
          <w:szCs w:val="26"/>
        </w:rPr>
        <w:t>аседа</w:t>
      </w:r>
      <w:r w:rsidR="00C66004" w:rsidRPr="009D1CD0">
        <w:rPr>
          <w:bCs/>
          <w:sz w:val="26"/>
          <w:szCs w:val="26"/>
        </w:rPr>
        <w:t xml:space="preserve">ния </w:t>
      </w:r>
      <w:r w:rsidR="00125B73" w:rsidRPr="009D1CD0">
        <w:rPr>
          <w:bCs/>
          <w:sz w:val="26"/>
          <w:szCs w:val="26"/>
        </w:rPr>
        <w:t xml:space="preserve">Закупочной комиссии по аукциону в электронной форме на право заключения договора </w:t>
      </w:r>
      <w:r w:rsidR="009D1CD0" w:rsidRPr="009D1CD0">
        <w:rPr>
          <w:bCs/>
          <w:sz w:val="26"/>
          <w:szCs w:val="26"/>
        </w:rPr>
        <w:t>поставки</w:t>
      </w:r>
      <w:r w:rsidR="00125B73" w:rsidRPr="009D1CD0">
        <w:rPr>
          <w:bCs/>
          <w:sz w:val="26"/>
          <w:szCs w:val="26"/>
        </w:rPr>
        <w:t xml:space="preserve"> </w:t>
      </w:r>
    </w:p>
    <w:p w:rsidR="009D1CD0" w:rsidRPr="009D1CD0" w:rsidRDefault="009D1CD0" w:rsidP="009D1CD0">
      <w:pPr>
        <w:pStyle w:val="Tableheader"/>
        <w:widowControl w:val="0"/>
        <w:jc w:val="center"/>
        <w:rPr>
          <w:bCs/>
          <w:i/>
          <w:sz w:val="26"/>
          <w:szCs w:val="26"/>
        </w:rPr>
      </w:pPr>
      <w:r w:rsidRPr="009D1CD0">
        <w:rPr>
          <w:bCs/>
          <w:i/>
          <w:sz w:val="26"/>
          <w:szCs w:val="26"/>
        </w:rPr>
        <w:t xml:space="preserve">«Комплектные трансформаторные подстанции (АЭС)» </w:t>
      </w:r>
    </w:p>
    <w:p w:rsidR="009D1CD0" w:rsidRPr="009D1CD0" w:rsidRDefault="009D1CD0" w:rsidP="009D1CD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9D1CD0">
        <w:rPr>
          <w:sz w:val="26"/>
          <w:szCs w:val="26"/>
        </w:rPr>
        <w:t>(закупка № 14.1 раздел 2.2.2 ГКПЗ 2020 ДРСК)</w:t>
      </w:r>
    </w:p>
    <w:p w:rsidR="001A7408" w:rsidRDefault="001A7408" w:rsidP="001A74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9D1CD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9D1CD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D1CD0" w:rsidP="009D1CD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октября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 xml:space="preserve">электронной форме </w:t>
      </w:r>
      <w:r w:rsidRPr="00BC62AE">
        <w:rPr>
          <w:bCs/>
          <w:sz w:val="24"/>
          <w:szCs w:val="24"/>
        </w:rPr>
        <w:t xml:space="preserve">на право заключения договора </w:t>
      </w:r>
      <w:r w:rsidR="009D1CD0" w:rsidRPr="009D1CD0">
        <w:rPr>
          <w:bCs/>
          <w:sz w:val="24"/>
          <w:szCs w:val="24"/>
        </w:rPr>
        <w:t>поставки</w:t>
      </w:r>
      <w:r w:rsidRPr="009D1CD0">
        <w:rPr>
          <w:bCs/>
          <w:sz w:val="24"/>
          <w:szCs w:val="24"/>
        </w:rPr>
        <w:t xml:space="preserve"> </w:t>
      </w:r>
      <w:r w:rsidRPr="009D1CD0">
        <w:rPr>
          <w:b/>
          <w:bCs/>
          <w:i/>
          <w:sz w:val="24"/>
          <w:szCs w:val="24"/>
        </w:rPr>
        <w:t>«</w:t>
      </w:r>
      <w:r w:rsidR="009D1CD0" w:rsidRPr="009D1CD0">
        <w:rPr>
          <w:b/>
          <w:bCs/>
          <w:i/>
          <w:sz w:val="24"/>
          <w:szCs w:val="24"/>
        </w:rPr>
        <w:t>Комплектные трансформаторные подстанции (АЭС)</w:t>
      </w:r>
      <w:r w:rsidRPr="009D1CD0">
        <w:rPr>
          <w:b/>
          <w:bCs/>
          <w:i/>
          <w:sz w:val="24"/>
          <w:szCs w:val="24"/>
        </w:rPr>
        <w:t xml:space="preserve">» </w:t>
      </w:r>
      <w:r w:rsidR="00954330" w:rsidRPr="009D1CD0">
        <w:rPr>
          <w:sz w:val="24"/>
          <w:szCs w:val="24"/>
        </w:rPr>
        <w:t xml:space="preserve">(закупка </w:t>
      </w:r>
      <w:r w:rsidR="009D1CD0">
        <w:rPr>
          <w:sz w:val="24"/>
          <w:szCs w:val="24"/>
        </w:rPr>
        <w:t>14.1 раздела 2.2.2 ГКПЗ 2020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D1CD0">
        <w:rPr>
          <w:b/>
          <w:sz w:val="24"/>
          <w:szCs w:val="24"/>
        </w:rPr>
        <w:t>9</w:t>
      </w:r>
      <w:r w:rsidR="00E13ADC">
        <w:rPr>
          <w:sz w:val="24"/>
          <w:szCs w:val="24"/>
        </w:rPr>
        <w:t xml:space="preserve"> </w:t>
      </w:r>
      <w:r w:rsidR="009D1CD0">
        <w:rPr>
          <w:sz w:val="24"/>
          <w:szCs w:val="24"/>
        </w:rPr>
        <w:t>(девять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9D1CD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D1CD0" w:rsidRPr="0017392F" w:rsidTr="006A44CF">
        <w:trPr>
          <w:trHeight w:val="274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19.09.2019 04:49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19.09.2019 14:09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04:08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05:08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08:06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08:12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08:08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08:22</w:t>
            </w:r>
          </w:p>
        </w:tc>
      </w:tr>
      <w:tr w:rsidR="009D1CD0" w:rsidRPr="0017392F" w:rsidTr="006A44CF">
        <w:trPr>
          <w:trHeight w:val="279"/>
        </w:trPr>
        <w:tc>
          <w:tcPr>
            <w:tcW w:w="1134" w:type="dxa"/>
            <w:vAlign w:val="center"/>
          </w:tcPr>
          <w:p w:rsidR="009D1CD0" w:rsidRPr="0017392F" w:rsidRDefault="009D1CD0" w:rsidP="009D1CD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D1CD0" w:rsidRPr="00B51E23" w:rsidRDefault="009D1CD0" w:rsidP="009D1CD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08:53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D1CD0" w:rsidRPr="0038289F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>О рассмотрении результатов оценки заявок Участников</w:t>
      </w:r>
    </w:p>
    <w:p w:rsidR="009D1CD0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"ВОСТОКЭНЕРГО" (заявка № 4)</w:t>
      </w:r>
    </w:p>
    <w:p w:rsidR="009D1CD0" w:rsidRPr="00B51E23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 w:rsidRPr="00B51E23">
        <w:rPr>
          <w:sz w:val="24"/>
        </w:rPr>
        <w:t xml:space="preserve">ООО "ВОСТОКЭНЕРГОКОМПЛЕКТ" </w:t>
      </w:r>
      <w:r w:rsidRPr="00B51E23">
        <w:rPr>
          <w:bCs/>
          <w:iCs/>
          <w:sz w:val="24"/>
        </w:rPr>
        <w:t>(заявка № 6)</w:t>
      </w:r>
    </w:p>
    <w:p w:rsidR="009D1CD0" w:rsidRPr="0038289F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«</w:t>
      </w:r>
      <w:proofErr w:type="spellStart"/>
      <w:r>
        <w:rPr>
          <w:sz w:val="24"/>
        </w:rPr>
        <w:t>Востокэлектрооборудование</w:t>
      </w:r>
      <w:proofErr w:type="spellEnd"/>
      <w:r>
        <w:rPr>
          <w:sz w:val="24"/>
        </w:rPr>
        <w:t>» (заявка</w:t>
      </w:r>
      <w:r w:rsidRPr="0038289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№7</w:t>
      </w:r>
      <w:r w:rsidRPr="0038289F">
        <w:rPr>
          <w:bCs/>
          <w:iCs/>
          <w:sz w:val="24"/>
        </w:rPr>
        <w:t>)</w:t>
      </w:r>
    </w:p>
    <w:p w:rsidR="009D1CD0" w:rsidRPr="0038289F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 xml:space="preserve">ООО "АЛТТРАНС-МАЛЫЙ БИЗНЕС" </w:t>
      </w:r>
      <w:r>
        <w:rPr>
          <w:bCs/>
          <w:iCs/>
          <w:sz w:val="24"/>
        </w:rPr>
        <w:t>(заявка № 8</w:t>
      </w:r>
      <w:r w:rsidRPr="0038289F">
        <w:rPr>
          <w:bCs/>
          <w:iCs/>
          <w:sz w:val="24"/>
        </w:rPr>
        <w:t>)</w:t>
      </w:r>
    </w:p>
    <w:p w:rsidR="009D1CD0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 "Группа Компаний "НЗО"</w:t>
      </w:r>
      <w:r>
        <w:rPr>
          <w:bCs/>
          <w:iCs/>
          <w:sz w:val="24"/>
        </w:rPr>
        <w:t xml:space="preserve"> (заявка № 9</w:t>
      </w:r>
      <w:r w:rsidRPr="0038289F">
        <w:rPr>
          <w:bCs/>
          <w:iCs/>
          <w:sz w:val="24"/>
        </w:rPr>
        <w:t>)</w:t>
      </w:r>
    </w:p>
    <w:p w:rsidR="009D1CD0" w:rsidRPr="00307539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ЗАО «Новации и бизнес в энергетике»</w:t>
      </w:r>
      <w:r>
        <w:rPr>
          <w:bCs/>
          <w:iCs/>
          <w:sz w:val="24"/>
        </w:rPr>
        <w:t xml:space="preserve"> (заявка № 5</w:t>
      </w:r>
      <w:r w:rsidRPr="0038289F">
        <w:rPr>
          <w:bCs/>
          <w:iCs/>
          <w:sz w:val="24"/>
        </w:rPr>
        <w:t>)</w:t>
      </w:r>
    </w:p>
    <w:p w:rsidR="009D1CD0" w:rsidRPr="0038289F" w:rsidRDefault="009D1CD0" w:rsidP="009D1CD0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>О признании заявок соответствующими условиям Документации о закупке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D1CD0" w:rsidRPr="0038289F" w:rsidRDefault="009D1CD0" w:rsidP="009D1CD0">
      <w:pPr>
        <w:pStyle w:val="25"/>
        <w:widowControl w:val="0"/>
        <w:numPr>
          <w:ilvl w:val="1"/>
          <w:numId w:val="16"/>
        </w:numPr>
        <w:tabs>
          <w:tab w:val="left" w:pos="426"/>
        </w:tabs>
        <w:rPr>
          <w:szCs w:val="24"/>
        </w:rPr>
      </w:pPr>
      <w:r w:rsidRPr="0038289F">
        <w:rPr>
          <w:szCs w:val="24"/>
        </w:rPr>
        <w:t>Признать объем полученной информации достаточным для принятия решения.</w:t>
      </w:r>
    </w:p>
    <w:p w:rsidR="009D1CD0" w:rsidRPr="0038289F" w:rsidRDefault="009D1CD0" w:rsidP="009D1CD0">
      <w:pPr>
        <w:pStyle w:val="25"/>
        <w:widowControl w:val="0"/>
        <w:numPr>
          <w:ilvl w:val="1"/>
          <w:numId w:val="16"/>
        </w:numPr>
        <w:tabs>
          <w:tab w:val="left" w:pos="426"/>
        </w:tabs>
        <w:rPr>
          <w:szCs w:val="24"/>
          <w:shd w:val="clear" w:color="auto" w:fill="FFFF99"/>
        </w:rPr>
      </w:pPr>
      <w:r w:rsidRPr="0038289F">
        <w:rPr>
          <w:szCs w:val="24"/>
        </w:rPr>
        <w:t>Принять к рассмотрению заявки следующих участников.</w:t>
      </w:r>
    </w:p>
    <w:tbl>
      <w:tblPr>
        <w:tblStyle w:val="5"/>
        <w:tblW w:w="93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438"/>
        <w:gridCol w:w="3260"/>
        <w:gridCol w:w="2835"/>
      </w:tblGrid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9D1CD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38" w:type="dxa"/>
            <w:vAlign w:val="center"/>
          </w:tcPr>
          <w:p w:rsidR="009D1CD0" w:rsidRPr="00455714" w:rsidRDefault="009D1CD0" w:rsidP="009D1CD0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3260" w:type="dxa"/>
            <w:vAlign w:val="center"/>
          </w:tcPr>
          <w:p w:rsidR="009D1CD0" w:rsidRPr="00455714" w:rsidRDefault="009D1CD0" w:rsidP="009D1CD0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9D1CD0" w:rsidRPr="00B82A7F" w:rsidRDefault="009D1CD0" w:rsidP="009D1CD0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9D1CD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vAlign w:val="center"/>
          </w:tcPr>
          <w:p w:rsidR="009D1CD0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19.09.2019 04:49</w:t>
            </w:r>
          </w:p>
        </w:tc>
        <w:tc>
          <w:tcPr>
            <w:tcW w:w="3260" w:type="dxa"/>
          </w:tcPr>
          <w:p w:rsidR="009D1CD0" w:rsidRPr="00B51E23" w:rsidRDefault="009D1CD0" w:rsidP="009D1CD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D1CD0" w:rsidRPr="00B51E23" w:rsidRDefault="009D1CD0" w:rsidP="009D1CD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164.47</w:t>
            </w:r>
          </w:p>
        </w:tc>
      </w:tr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9D1CD0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19.09.2019 14:09</w:t>
            </w:r>
          </w:p>
        </w:tc>
        <w:tc>
          <w:tcPr>
            <w:tcW w:w="3260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D1CD0" w:rsidRPr="00B51E23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479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322.50</w:t>
            </w:r>
          </w:p>
        </w:tc>
      </w:tr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2438" w:type="dxa"/>
            <w:vAlign w:val="center"/>
          </w:tcPr>
          <w:p w:rsidR="009D1CD0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04:08</w:t>
            </w:r>
          </w:p>
        </w:tc>
        <w:tc>
          <w:tcPr>
            <w:tcW w:w="3260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D1CD0" w:rsidRPr="00B51E23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164.47</w:t>
            </w:r>
          </w:p>
        </w:tc>
      </w:tr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2438" w:type="dxa"/>
            <w:vAlign w:val="center"/>
          </w:tcPr>
          <w:p w:rsidR="009D1CD0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05:08</w:t>
            </w:r>
          </w:p>
        </w:tc>
        <w:tc>
          <w:tcPr>
            <w:tcW w:w="3260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D1CD0" w:rsidRPr="00B51E23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164.47</w:t>
            </w:r>
          </w:p>
        </w:tc>
      </w:tr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2438" w:type="dxa"/>
            <w:vAlign w:val="center"/>
          </w:tcPr>
          <w:p w:rsidR="009D1CD0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08:06</w:t>
            </w:r>
          </w:p>
        </w:tc>
        <w:tc>
          <w:tcPr>
            <w:tcW w:w="3260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9D1CD0" w:rsidRPr="00B51E23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431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965.25</w:t>
            </w:r>
          </w:p>
        </w:tc>
      </w:tr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2438" w:type="dxa"/>
            <w:vAlign w:val="center"/>
          </w:tcPr>
          <w:p w:rsidR="009D1CD0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08:12</w:t>
            </w:r>
          </w:p>
        </w:tc>
        <w:tc>
          <w:tcPr>
            <w:tcW w:w="3260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9D1CD0" w:rsidRPr="00B51E23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164.47</w:t>
            </w:r>
          </w:p>
        </w:tc>
      </w:tr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2438" w:type="dxa"/>
            <w:vAlign w:val="center"/>
          </w:tcPr>
          <w:p w:rsidR="009D1CD0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08:08</w:t>
            </w:r>
          </w:p>
        </w:tc>
        <w:tc>
          <w:tcPr>
            <w:tcW w:w="3260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9D1CD0" w:rsidRPr="00B51E23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164.47</w:t>
            </w:r>
          </w:p>
        </w:tc>
      </w:tr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2438" w:type="dxa"/>
            <w:vAlign w:val="center"/>
          </w:tcPr>
          <w:p w:rsidR="009D1CD0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08:22</w:t>
            </w:r>
          </w:p>
        </w:tc>
        <w:tc>
          <w:tcPr>
            <w:tcW w:w="3260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9D1CD0" w:rsidRPr="00B51E23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164.47</w:t>
            </w:r>
          </w:p>
        </w:tc>
      </w:tr>
      <w:tr w:rsidR="009D1CD0" w:rsidRPr="0038289F" w:rsidTr="009D1CD0">
        <w:trPr>
          <w:trHeight w:val="70"/>
        </w:trPr>
        <w:tc>
          <w:tcPr>
            <w:tcW w:w="851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9</w:t>
            </w:r>
          </w:p>
        </w:tc>
        <w:tc>
          <w:tcPr>
            <w:tcW w:w="2438" w:type="dxa"/>
            <w:vAlign w:val="center"/>
          </w:tcPr>
          <w:p w:rsidR="009D1CD0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20.09.2019 08:53</w:t>
            </w:r>
          </w:p>
        </w:tc>
        <w:tc>
          <w:tcPr>
            <w:tcW w:w="3260" w:type="dxa"/>
          </w:tcPr>
          <w:p w:rsidR="009D1CD0" w:rsidRPr="00B51E23" w:rsidRDefault="009D1CD0" w:rsidP="002E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9D1CD0" w:rsidRPr="00B51E23" w:rsidRDefault="009D1CD0" w:rsidP="002E39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393</w:t>
            </w:r>
            <w:r>
              <w:rPr>
                <w:sz w:val="24"/>
                <w:szCs w:val="24"/>
              </w:rPr>
              <w:t xml:space="preserve"> </w:t>
            </w:r>
            <w:r w:rsidRPr="00B51E23">
              <w:rPr>
                <w:sz w:val="24"/>
                <w:szCs w:val="24"/>
              </w:rPr>
              <w:t>872.86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D1CD0" w:rsidRDefault="009D1CD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Pr="00BE2FB5" w:rsidRDefault="009D1CD0" w:rsidP="009D1CD0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BE2FB5">
        <w:rPr>
          <w:b/>
        </w:rPr>
        <w:t>ООО "ВОСТОКЭНЕРГО" (заявка № 4)</w:t>
      </w:r>
      <w:r>
        <w:t xml:space="preserve"> </w:t>
      </w:r>
      <w:r w:rsidRPr="00BE2FB5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подпункта г</w:t>
      </w:r>
      <w:r w:rsidRPr="00BE2FB5">
        <w:rPr>
          <w:szCs w:val="24"/>
        </w:rPr>
        <w:t>) пункта 4.9.6.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9D1CD0" w:rsidRPr="00BE2FB5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1CD0" w:rsidRPr="0038289F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D0" w:rsidRPr="005335E5" w:rsidRDefault="009D1CD0" w:rsidP="002E39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35E5">
              <w:rPr>
                <w:sz w:val="24"/>
                <w:szCs w:val="24"/>
              </w:rPr>
              <w:t xml:space="preserve">В предоставленных в ответ на дополнительный запрос </w:t>
            </w:r>
            <w:r w:rsidRPr="004E1705">
              <w:rPr>
                <w:i/>
                <w:sz w:val="24"/>
                <w:szCs w:val="24"/>
              </w:rPr>
              <w:t>Общих требованиях</w:t>
            </w:r>
            <w:r w:rsidRPr="005335E5">
              <w:rPr>
                <w:sz w:val="24"/>
                <w:szCs w:val="24"/>
              </w:rPr>
              <w:t xml:space="preserve"> (приложение 4 к Техническим требованиям</w:t>
            </w:r>
            <w:r>
              <w:rPr>
                <w:sz w:val="24"/>
                <w:szCs w:val="24"/>
              </w:rPr>
              <w:t>)</w:t>
            </w:r>
            <w:r w:rsidRPr="00533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Участник по п.15 и п. 33 предоставил следующую информацию:</w:t>
            </w:r>
          </w:p>
          <w:p w:rsidR="009D1CD0" w:rsidRDefault="009D1CD0" w:rsidP="009D1CD0">
            <w:pPr>
              <w:pStyle w:val="a9"/>
              <w:numPr>
                <w:ilvl w:val="3"/>
                <w:numId w:val="17"/>
              </w:numPr>
              <w:spacing w:line="240" w:lineRule="auto"/>
              <w:ind w:left="340"/>
              <w:rPr>
                <w:sz w:val="24"/>
                <w:szCs w:val="24"/>
              </w:rPr>
            </w:pPr>
            <w:r w:rsidRPr="005335E5">
              <w:rPr>
                <w:sz w:val="24"/>
                <w:szCs w:val="24"/>
              </w:rPr>
              <w:t xml:space="preserve"> в п</w:t>
            </w:r>
            <w:r>
              <w:rPr>
                <w:sz w:val="24"/>
                <w:szCs w:val="24"/>
              </w:rPr>
              <w:t>.</w:t>
            </w:r>
            <w:r w:rsidRPr="005335E5">
              <w:rPr>
                <w:sz w:val="24"/>
                <w:szCs w:val="24"/>
              </w:rPr>
              <w:t xml:space="preserve"> 15 Участником указаны </w:t>
            </w:r>
            <w:r w:rsidRPr="005335E5">
              <w:rPr>
                <w:b/>
                <w:sz w:val="24"/>
                <w:szCs w:val="24"/>
              </w:rPr>
              <w:t>наружные петли</w:t>
            </w:r>
            <w:r>
              <w:rPr>
                <w:sz w:val="24"/>
                <w:szCs w:val="24"/>
              </w:rPr>
              <w:t xml:space="preserve"> в конструкции дверей КТП</w:t>
            </w:r>
            <w:r w:rsidRPr="005335E5">
              <w:rPr>
                <w:sz w:val="24"/>
                <w:szCs w:val="24"/>
              </w:rPr>
              <w:t xml:space="preserve">, что не соответствует пункту 15 </w:t>
            </w:r>
            <w:r w:rsidRPr="004E1705">
              <w:rPr>
                <w:i/>
                <w:sz w:val="24"/>
                <w:szCs w:val="24"/>
              </w:rPr>
              <w:t>Общих требований</w:t>
            </w:r>
            <w:r w:rsidRPr="00533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Заказчика, </w:t>
            </w:r>
            <w:r w:rsidRPr="005335E5">
              <w:rPr>
                <w:sz w:val="24"/>
                <w:szCs w:val="24"/>
              </w:rPr>
              <w:t xml:space="preserve">в котором указаны </w:t>
            </w:r>
            <w:r w:rsidRPr="005335E5">
              <w:rPr>
                <w:b/>
                <w:sz w:val="24"/>
                <w:szCs w:val="24"/>
              </w:rPr>
              <w:t>внутренние петли</w:t>
            </w:r>
            <w:r>
              <w:rPr>
                <w:sz w:val="24"/>
                <w:szCs w:val="24"/>
              </w:rPr>
              <w:t xml:space="preserve"> в конструкции дверей КТП</w:t>
            </w:r>
          </w:p>
          <w:p w:rsidR="009D1CD0" w:rsidRDefault="009D1CD0" w:rsidP="009D1CD0">
            <w:pPr>
              <w:pStyle w:val="a9"/>
              <w:numPr>
                <w:ilvl w:val="3"/>
                <w:numId w:val="17"/>
              </w:numPr>
              <w:spacing w:line="240" w:lineRule="auto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п. </w:t>
            </w:r>
            <w:r w:rsidRPr="005335E5">
              <w:rPr>
                <w:sz w:val="24"/>
                <w:szCs w:val="24"/>
              </w:rPr>
              <w:t xml:space="preserve">33 </w:t>
            </w:r>
            <w:r>
              <w:rPr>
                <w:sz w:val="24"/>
                <w:szCs w:val="24"/>
              </w:rPr>
              <w:t xml:space="preserve">Участником </w:t>
            </w:r>
            <w:r w:rsidRPr="005335E5">
              <w:rPr>
                <w:sz w:val="24"/>
                <w:szCs w:val="24"/>
              </w:rPr>
              <w:t xml:space="preserve">указано </w:t>
            </w:r>
            <w:r>
              <w:rPr>
                <w:sz w:val="24"/>
                <w:szCs w:val="24"/>
              </w:rPr>
              <w:t>к</w:t>
            </w:r>
            <w:r w:rsidRPr="00152EAD">
              <w:rPr>
                <w:color w:val="000000"/>
                <w:sz w:val="22"/>
                <w:szCs w:val="22"/>
              </w:rPr>
              <w:t>репление внутренних перегородок</w:t>
            </w:r>
            <w:r>
              <w:rPr>
                <w:color w:val="000000"/>
                <w:sz w:val="22"/>
                <w:szCs w:val="22"/>
              </w:rPr>
              <w:t xml:space="preserve"> -</w:t>
            </w:r>
            <w:r w:rsidRPr="00152EAD">
              <w:rPr>
                <w:color w:val="000000"/>
                <w:sz w:val="22"/>
                <w:szCs w:val="22"/>
              </w:rPr>
              <w:t xml:space="preserve"> </w:t>
            </w:r>
            <w:r w:rsidRPr="005335E5">
              <w:rPr>
                <w:sz w:val="24"/>
                <w:szCs w:val="24"/>
              </w:rPr>
              <w:t xml:space="preserve">соединение </w:t>
            </w:r>
            <w:r w:rsidRPr="002D424A">
              <w:rPr>
                <w:b/>
                <w:sz w:val="24"/>
                <w:szCs w:val="24"/>
              </w:rPr>
              <w:t>методом сварки</w:t>
            </w:r>
            <w:r w:rsidRPr="005335E5"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  <w:szCs w:val="24"/>
              </w:rPr>
              <w:t>пункту</w:t>
            </w:r>
            <w:r w:rsidRPr="005335E5">
              <w:rPr>
                <w:sz w:val="24"/>
                <w:szCs w:val="24"/>
              </w:rPr>
              <w:t xml:space="preserve"> 33 </w:t>
            </w:r>
            <w:r w:rsidRPr="004E1705">
              <w:rPr>
                <w:i/>
                <w:sz w:val="24"/>
                <w:szCs w:val="24"/>
              </w:rPr>
              <w:t>Общих требований</w:t>
            </w:r>
            <w:r w:rsidRPr="00533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Заказчика,</w:t>
            </w:r>
            <w:r w:rsidRPr="005335E5">
              <w:rPr>
                <w:sz w:val="24"/>
                <w:szCs w:val="24"/>
              </w:rPr>
              <w:t xml:space="preserve"> где указано крепление перегородок </w:t>
            </w:r>
            <w:r w:rsidRPr="002D424A">
              <w:rPr>
                <w:b/>
                <w:sz w:val="24"/>
                <w:szCs w:val="24"/>
              </w:rPr>
              <w:t>на кле</w:t>
            </w:r>
            <w:r>
              <w:rPr>
                <w:b/>
                <w:sz w:val="24"/>
                <w:szCs w:val="24"/>
              </w:rPr>
              <w:t>пках или болтовыми соединениями</w:t>
            </w:r>
            <w:r w:rsidRPr="005335E5">
              <w:rPr>
                <w:sz w:val="24"/>
                <w:szCs w:val="24"/>
              </w:rPr>
              <w:t xml:space="preserve"> </w:t>
            </w:r>
          </w:p>
          <w:p w:rsidR="009D1CD0" w:rsidRPr="00906050" w:rsidRDefault="009D1CD0" w:rsidP="002E39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06050">
              <w:rPr>
                <w:sz w:val="24"/>
                <w:szCs w:val="24"/>
              </w:rPr>
              <w:t xml:space="preserve">что не соответствует  п. 3.2. Технических требований на закупку КТП в котором указано, что продукция должна соответствовать требованиям приложения 4  </w:t>
            </w:r>
            <w:r w:rsidRPr="00906050">
              <w:rPr>
                <w:i/>
                <w:sz w:val="24"/>
                <w:szCs w:val="24"/>
              </w:rPr>
              <w:t>Общие требования.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Pr="00BE2FB5" w:rsidRDefault="009D1CD0" w:rsidP="009D1CD0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BE2FB5">
        <w:rPr>
          <w:b/>
          <w:szCs w:val="24"/>
        </w:rPr>
        <w:t xml:space="preserve">ООО "ВОСТОКЭНЕРГОКОМПЛЕКТ" </w:t>
      </w:r>
      <w:r w:rsidRPr="00BE2FB5">
        <w:rPr>
          <w:b/>
          <w:bCs/>
          <w:iCs/>
          <w:szCs w:val="24"/>
        </w:rPr>
        <w:t xml:space="preserve">(заявка № 6) </w:t>
      </w:r>
      <w:r w:rsidRPr="00BE2FB5">
        <w:rPr>
          <w:szCs w:val="24"/>
        </w:rPr>
        <w:t>от дальнейшего рассмотрения на основании подпункта б) пункта 4.9.6.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9D1CD0" w:rsidRPr="00BE2FB5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1CD0" w:rsidRPr="0038289F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D0" w:rsidRPr="0038289F" w:rsidRDefault="009D1CD0" w:rsidP="002E39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п. 3 раздела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Pr="00BE2FB5" w:rsidRDefault="009D1CD0" w:rsidP="009D1CD0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5521C1">
        <w:rPr>
          <w:b/>
        </w:rPr>
        <w:t>ООО «</w:t>
      </w:r>
      <w:proofErr w:type="spellStart"/>
      <w:r w:rsidRPr="005521C1">
        <w:rPr>
          <w:b/>
        </w:rPr>
        <w:t>Востокэлектрооборудование</w:t>
      </w:r>
      <w:proofErr w:type="spellEnd"/>
      <w:r w:rsidRPr="005521C1">
        <w:rPr>
          <w:b/>
        </w:rPr>
        <w:t>» (заявка</w:t>
      </w:r>
      <w:r w:rsidRPr="005521C1">
        <w:rPr>
          <w:b/>
          <w:bCs/>
          <w:iCs/>
        </w:rPr>
        <w:t xml:space="preserve"> №7)</w:t>
      </w:r>
      <w:r>
        <w:rPr>
          <w:b/>
          <w:bCs/>
          <w:iCs/>
          <w:szCs w:val="24"/>
        </w:rPr>
        <w:t xml:space="preserve"> </w:t>
      </w:r>
      <w:r w:rsidRPr="0038289F">
        <w:rPr>
          <w:szCs w:val="24"/>
        </w:rPr>
        <w:t xml:space="preserve">от дальнейшего рассмотрения на основании </w:t>
      </w:r>
      <w:proofErr w:type="gramStart"/>
      <w:r w:rsidRPr="006A6CE4">
        <w:rPr>
          <w:color w:val="000000" w:themeColor="text1"/>
          <w:szCs w:val="24"/>
        </w:rPr>
        <w:t>подпунктов</w:t>
      </w:r>
      <w:proofErr w:type="gramEnd"/>
      <w:r w:rsidRPr="006A6CE4">
        <w:rPr>
          <w:color w:val="000000" w:themeColor="text1"/>
          <w:szCs w:val="24"/>
        </w:rPr>
        <w:t xml:space="preserve"> а) и б) пункта 4.9.6. Документации </w:t>
      </w:r>
      <w:r w:rsidRPr="0038289F">
        <w:rPr>
          <w:szCs w:val="24"/>
        </w:rPr>
        <w:t>о закупке</w:t>
      </w:r>
      <w:r w:rsidRPr="00BE2FB5">
        <w:rPr>
          <w:szCs w:val="24"/>
        </w:rPr>
        <w:t>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9D1CD0" w:rsidRPr="00BE2FB5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1CD0" w:rsidRPr="0038289F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D0" w:rsidRPr="00AE22D4" w:rsidRDefault="009D1CD0" w:rsidP="002E39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E22D4">
              <w:rPr>
                <w:sz w:val="24"/>
                <w:szCs w:val="24"/>
              </w:rPr>
              <w:t xml:space="preserve"> коммерческом предложении участника указан производитель КТПН, МТП ООО «Комплексные решения», при этом </w:t>
            </w:r>
            <w:r>
              <w:rPr>
                <w:sz w:val="24"/>
                <w:szCs w:val="24"/>
              </w:rPr>
              <w:t xml:space="preserve">в технических </w:t>
            </w:r>
            <w:proofErr w:type="spellStart"/>
            <w:r>
              <w:rPr>
                <w:sz w:val="24"/>
                <w:szCs w:val="24"/>
              </w:rPr>
              <w:t>документацах</w:t>
            </w:r>
            <w:proofErr w:type="spellEnd"/>
            <w:r w:rsidRPr="00AE22D4">
              <w:rPr>
                <w:sz w:val="24"/>
                <w:szCs w:val="24"/>
              </w:rPr>
              <w:t xml:space="preserve"> (ТУ, сертификаты соответствия, руководство по эксплуатации, протоколы испытаний) </w:t>
            </w:r>
            <w:r>
              <w:rPr>
                <w:sz w:val="24"/>
                <w:szCs w:val="24"/>
              </w:rPr>
              <w:t xml:space="preserve">обозначен производитель </w:t>
            </w:r>
            <w:r w:rsidRPr="00AE22D4">
              <w:rPr>
                <w:sz w:val="24"/>
                <w:szCs w:val="24"/>
              </w:rPr>
              <w:t>ЗАО «ЗЭТО», что не соответствует п. 7.1., 5.5.  технических требований на закупку</w:t>
            </w:r>
            <w:r>
              <w:rPr>
                <w:sz w:val="24"/>
                <w:szCs w:val="24"/>
              </w:rPr>
              <w:t>.</w:t>
            </w:r>
            <w:r w:rsidRPr="00AE22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AE22D4">
              <w:rPr>
                <w:sz w:val="24"/>
                <w:szCs w:val="24"/>
              </w:rPr>
              <w:t>окументация, приложенная участником, не соответствует производителю, указанному в коммерческом приложении, а участник должен указать производителя в составе коммерческого предложения.</w:t>
            </w:r>
          </w:p>
          <w:p w:rsidR="009D1CD0" w:rsidRPr="006A6CE4" w:rsidRDefault="009D1CD0" w:rsidP="009D1CD0">
            <w:pPr>
              <w:pStyle w:val="af3"/>
              <w:tabs>
                <w:tab w:val="clear" w:pos="1844"/>
                <w:tab w:val="left" w:pos="57"/>
                <w:tab w:val="left" w:pos="317"/>
                <w:tab w:val="left" w:pos="601"/>
              </w:tabs>
              <w:spacing w:line="240" w:lineRule="auto"/>
              <w:ind w:left="57" w:firstLine="0"/>
              <w:rPr>
                <w:color w:val="000000" w:themeColor="text1"/>
                <w:sz w:val="24"/>
                <w:szCs w:val="24"/>
              </w:rPr>
            </w:pPr>
            <w:r w:rsidRPr="003B4395">
              <w:rPr>
                <w:color w:val="000000" w:themeColor="text1"/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3B4395">
              <w:rPr>
                <w:b/>
                <w:color w:val="000000" w:themeColor="text1"/>
                <w:sz w:val="24"/>
                <w:szCs w:val="24"/>
              </w:rPr>
              <w:t>замечание не снято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AE22D4">
              <w:rPr>
                <w:color w:val="000000" w:themeColor="text1"/>
                <w:sz w:val="24"/>
                <w:szCs w:val="24"/>
              </w:rPr>
              <w:t xml:space="preserve">В ответ на </w:t>
            </w:r>
            <w:r>
              <w:rPr>
                <w:color w:val="000000" w:themeColor="text1"/>
                <w:sz w:val="24"/>
                <w:szCs w:val="24"/>
              </w:rPr>
              <w:t xml:space="preserve">дополнительный запрос участник предоставил опросные листы и спецификации где изготовителем указано </w:t>
            </w:r>
            <w:r w:rsidRPr="00AE22D4">
              <w:rPr>
                <w:sz w:val="24"/>
                <w:szCs w:val="24"/>
              </w:rPr>
              <w:t>ЗАО «ЗЭТО»</w:t>
            </w:r>
            <w:r>
              <w:rPr>
                <w:sz w:val="24"/>
                <w:szCs w:val="24"/>
              </w:rPr>
              <w:t>, уточненного Коммерческого предложения Участник не предоставил</w:t>
            </w:r>
            <w:r>
              <w:rPr>
                <w:color w:val="000000" w:themeColor="text1"/>
                <w:sz w:val="24"/>
                <w:szCs w:val="24"/>
              </w:rPr>
              <w:t xml:space="preserve">, в связи с чем Закупочная комиссия не может сделать вывод о том какого именно производителя </w:t>
            </w:r>
            <w:r w:rsidRPr="00AE22D4">
              <w:rPr>
                <w:sz w:val="24"/>
                <w:szCs w:val="24"/>
              </w:rPr>
              <w:t>КТПН, МТП</w:t>
            </w:r>
            <w:r>
              <w:rPr>
                <w:sz w:val="24"/>
                <w:szCs w:val="24"/>
              </w:rPr>
              <w:t xml:space="preserve"> участник предлагает</w:t>
            </w:r>
            <w:r w:rsidRPr="00AE22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 поставке </w:t>
            </w:r>
            <w:r w:rsidRPr="00AE22D4">
              <w:rPr>
                <w:sz w:val="24"/>
                <w:szCs w:val="24"/>
              </w:rPr>
              <w:t xml:space="preserve">ООО «Комплексные решения» </w:t>
            </w:r>
            <w:r>
              <w:rPr>
                <w:sz w:val="24"/>
                <w:szCs w:val="24"/>
              </w:rPr>
              <w:t xml:space="preserve">или </w:t>
            </w:r>
            <w:r w:rsidRPr="00AE22D4">
              <w:rPr>
                <w:sz w:val="24"/>
                <w:szCs w:val="24"/>
              </w:rPr>
              <w:t>ЗАО «ЗЭТО»</w:t>
            </w:r>
            <w:r>
              <w:rPr>
                <w:sz w:val="24"/>
                <w:szCs w:val="24"/>
              </w:rPr>
              <w:t>.</w:t>
            </w:r>
          </w:p>
        </w:tc>
      </w:tr>
      <w:tr w:rsidR="009D1CD0" w:rsidRPr="0038289F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Default="009D1CD0" w:rsidP="009D1CD0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 w:rsidRPr="00762FEC">
              <w:rPr>
                <w:sz w:val="24"/>
                <w:szCs w:val="24"/>
              </w:rPr>
              <w:t>Участник в составе заявки не представил документы подтверждающие опыт изготовления и поставки КТП, КМТП, СТП, либо опыт поставки КТП, КМТП, СТП</w:t>
            </w:r>
            <w:r>
              <w:rPr>
                <w:sz w:val="24"/>
                <w:szCs w:val="24"/>
              </w:rPr>
              <w:t>, что не соответствует п. 7.1 Технического требования на закупку КТП (</w:t>
            </w:r>
            <w:r w:rsidRPr="00762FEC">
              <w:rPr>
                <w:sz w:val="24"/>
                <w:szCs w:val="24"/>
              </w:rPr>
              <w:t>приложение 1 к Документации о закупке) в котором указано, что Участник должен иметь опыт изготовления и поставки КТП, КМТП, СТП, либо опыт поставки КТП, КМТП, СТП производимой изготовителем (в случае если это специально созданная организация, аффилированная изготовителю), при этом за последние 5 лет, предшествующие дате подачи заявки на участие в настоящей закупочной процедуре, участником должны быть исполнены обязательства в общем/совокупном объеме не менее 40% от НМЦ.</w:t>
            </w:r>
          </w:p>
          <w:p w:rsidR="009D1CD0" w:rsidRPr="00762FEC" w:rsidRDefault="009D1CD0" w:rsidP="009D1CD0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762FEC">
              <w:rPr>
                <w:b/>
                <w:sz w:val="24"/>
                <w:szCs w:val="24"/>
              </w:rPr>
              <w:t>замечание не снято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EE78E2">
              <w:rPr>
                <w:sz w:val="24"/>
                <w:szCs w:val="24"/>
              </w:rPr>
              <w:t>Участник не предоставил документов подтверждающих опыт изготовления и поставки</w:t>
            </w:r>
            <w:r w:rsidRPr="00762FEC">
              <w:rPr>
                <w:sz w:val="24"/>
                <w:szCs w:val="24"/>
              </w:rPr>
              <w:t xml:space="preserve"> КТП, КМТП, СТП, либо опыт поставки КТП, КМТП, СТП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Pr="00BE2FB5" w:rsidRDefault="009D1CD0" w:rsidP="009D1CD0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E01C05">
        <w:rPr>
          <w:b/>
          <w:szCs w:val="24"/>
        </w:rPr>
        <w:t xml:space="preserve">ООО "АЛТТРАНС-МАЛЫЙ БИЗНЕС" </w:t>
      </w:r>
      <w:r w:rsidRPr="00E01C05">
        <w:rPr>
          <w:b/>
          <w:bCs/>
          <w:iCs/>
          <w:szCs w:val="24"/>
        </w:rPr>
        <w:t xml:space="preserve">(заявка № 8) </w:t>
      </w:r>
      <w:r w:rsidRPr="00BE2FB5">
        <w:rPr>
          <w:szCs w:val="24"/>
        </w:rPr>
        <w:t>от дальнейшего рассмотрения на основании подпункта б) пункта 4.9.6.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9"/>
      </w:tblGrid>
      <w:tr w:rsidR="009D1CD0" w:rsidRPr="00BE2FB5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1CD0" w:rsidRPr="0038289F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D0" w:rsidRPr="0038289F" w:rsidRDefault="009D1CD0" w:rsidP="002E39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п. 3 раздела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Pr="004348E5" w:rsidRDefault="009D1CD0" w:rsidP="009D1CD0">
      <w:pPr>
        <w:pStyle w:val="21"/>
        <w:rPr>
          <w:bCs/>
          <w:iCs/>
          <w:sz w:val="24"/>
        </w:rPr>
      </w:pPr>
      <w:r w:rsidRPr="0038289F">
        <w:rPr>
          <w:sz w:val="24"/>
        </w:rPr>
        <w:t xml:space="preserve">Отклонить заявку Участника </w:t>
      </w:r>
      <w:r w:rsidRPr="004348E5">
        <w:rPr>
          <w:b/>
          <w:sz w:val="24"/>
        </w:rPr>
        <w:t>ООО "Группа Компаний "НЗО"</w:t>
      </w:r>
      <w:r w:rsidRPr="004348E5">
        <w:rPr>
          <w:b/>
          <w:bCs/>
          <w:iCs/>
          <w:sz w:val="24"/>
        </w:rPr>
        <w:t xml:space="preserve"> (заявка № 9)</w:t>
      </w:r>
      <w:r w:rsidRPr="00E01C05">
        <w:rPr>
          <w:b/>
          <w:bCs/>
          <w:iCs/>
          <w:sz w:val="24"/>
        </w:rPr>
        <w:t xml:space="preserve"> </w:t>
      </w:r>
      <w:r w:rsidRPr="00E01C05">
        <w:rPr>
          <w:sz w:val="24"/>
        </w:rPr>
        <w:t xml:space="preserve">от дальнейшего рассмотрения на основании </w:t>
      </w:r>
      <w:proofErr w:type="gramStart"/>
      <w:r>
        <w:rPr>
          <w:sz w:val="24"/>
        </w:rPr>
        <w:t>подпункта</w:t>
      </w:r>
      <w:proofErr w:type="gramEnd"/>
      <w:r>
        <w:rPr>
          <w:sz w:val="24"/>
        </w:rPr>
        <w:t xml:space="preserve"> а</w:t>
      </w:r>
      <w:r w:rsidRPr="00E01C05">
        <w:rPr>
          <w:sz w:val="24"/>
        </w:rPr>
        <w:t xml:space="preserve">) пункта 4.9.6. </w:t>
      </w:r>
      <w:r>
        <w:rPr>
          <w:sz w:val="24"/>
        </w:rPr>
        <w:t>Документации о закупке</w:t>
      </w:r>
      <w:r w:rsidRPr="0038289F">
        <w:rPr>
          <w:sz w:val="24"/>
        </w:rPr>
        <w:t>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8771"/>
      </w:tblGrid>
      <w:tr w:rsidR="009D1CD0" w:rsidRPr="0038289F" w:rsidTr="009D1CD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№ п/п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1CD0" w:rsidRPr="0038289F" w:rsidTr="009D1CD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D0" w:rsidRPr="00E01C05" w:rsidRDefault="009D1CD0" w:rsidP="002E3983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01C05">
              <w:rPr>
                <w:sz w:val="24"/>
                <w:szCs w:val="24"/>
              </w:rPr>
              <w:t xml:space="preserve"> заявке отсутствуют сборочные и компоновочные чертежи на предлагаемое оборудование, что не соответствует п. 5, и п. 5.1. технических требований, в которых указано, что для подтвержд</w:t>
            </w:r>
            <w:r>
              <w:rPr>
                <w:sz w:val="24"/>
                <w:szCs w:val="24"/>
              </w:rPr>
              <w:t>ения конструктива оборудования У</w:t>
            </w:r>
            <w:r w:rsidRPr="00E01C05">
              <w:rPr>
                <w:sz w:val="24"/>
                <w:szCs w:val="24"/>
              </w:rPr>
              <w:t>частником должны быть предоставлены сборочные и компоновочные чертежи на оборудование с габаритными размерами</w:t>
            </w:r>
            <w:r>
              <w:rPr>
                <w:sz w:val="24"/>
                <w:szCs w:val="24"/>
              </w:rPr>
              <w:t>.</w:t>
            </w:r>
          </w:p>
          <w:p w:rsidR="009D1CD0" w:rsidRPr="0038289F" w:rsidRDefault="009D1CD0" w:rsidP="002E3983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E01C0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E01C05">
              <w:rPr>
                <w:b/>
                <w:sz w:val="24"/>
                <w:szCs w:val="24"/>
              </w:rPr>
              <w:t xml:space="preserve">замечание не снято, </w:t>
            </w:r>
            <w:r w:rsidRPr="00E01C05">
              <w:rPr>
                <w:sz w:val="24"/>
                <w:szCs w:val="24"/>
              </w:rPr>
              <w:t xml:space="preserve">ответ на дополнительный запрос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01C05">
              <w:rPr>
                <w:sz w:val="24"/>
                <w:szCs w:val="24"/>
              </w:rPr>
              <w:t>не предоставлен</w:t>
            </w:r>
          </w:p>
        </w:tc>
      </w:tr>
      <w:tr w:rsidR="009D1CD0" w:rsidRPr="0038289F" w:rsidTr="009D1CD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E01C05" w:rsidRDefault="009D1CD0" w:rsidP="002E3983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01C05">
              <w:rPr>
                <w:sz w:val="24"/>
                <w:szCs w:val="24"/>
              </w:rPr>
              <w:t xml:space="preserve"> заявке отсутствует техническое описание предлагаемого оборудования, что не соответствует п. 5.2. технических требований на закупку</w:t>
            </w:r>
          </w:p>
          <w:p w:rsidR="009D1CD0" w:rsidRPr="0038289F" w:rsidRDefault="009D1CD0" w:rsidP="002E3983">
            <w:pPr>
              <w:tabs>
                <w:tab w:val="left" w:pos="1134"/>
              </w:tabs>
              <w:spacing w:line="240" w:lineRule="auto"/>
              <w:ind w:firstLine="0"/>
              <w:rPr>
                <w:i/>
                <w:sz w:val="24"/>
                <w:szCs w:val="24"/>
                <w:shd w:val="clear" w:color="auto" w:fill="FFFF99"/>
              </w:rPr>
            </w:pPr>
            <w:r w:rsidRPr="00E01C0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E01C05">
              <w:rPr>
                <w:b/>
                <w:sz w:val="24"/>
                <w:szCs w:val="24"/>
              </w:rPr>
              <w:t xml:space="preserve">замечание не снято, </w:t>
            </w:r>
            <w:r w:rsidRPr="00E01C05">
              <w:rPr>
                <w:sz w:val="24"/>
                <w:szCs w:val="24"/>
              </w:rPr>
              <w:t xml:space="preserve">ответ на дополнительный запрос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01C05">
              <w:rPr>
                <w:sz w:val="24"/>
                <w:szCs w:val="24"/>
              </w:rPr>
              <w:t>не предоставлен</w:t>
            </w:r>
          </w:p>
        </w:tc>
      </w:tr>
      <w:tr w:rsidR="009D1CD0" w:rsidRPr="0038289F" w:rsidTr="009D1CD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Default="009D1CD0" w:rsidP="002E39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01C05">
              <w:rPr>
                <w:sz w:val="24"/>
                <w:szCs w:val="24"/>
              </w:rPr>
              <w:t>аявка содержит главные электрические схемы на КТП, КМТП, СТП из документации Заказчика, а не схемы на предлагаемое оборудование, что не соответствует п. 5, и п. 5.3. технических требований, в которых указано, что для подтверждения конструктива оборудования участником должны быть предоставлены главные электрические схемы предлагаемых к поставке КТП, КМТП, СТП.</w:t>
            </w:r>
          </w:p>
          <w:p w:rsidR="009D1CD0" w:rsidRPr="00E01C05" w:rsidRDefault="009D1CD0" w:rsidP="002E39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1C0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E01C05">
              <w:rPr>
                <w:b/>
                <w:sz w:val="24"/>
                <w:szCs w:val="24"/>
              </w:rPr>
              <w:t xml:space="preserve">замечание не снято, </w:t>
            </w:r>
            <w:r w:rsidRPr="00E01C05">
              <w:rPr>
                <w:sz w:val="24"/>
                <w:szCs w:val="24"/>
              </w:rPr>
              <w:t xml:space="preserve">ответ на дополнительный запрос </w:t>
            </w:r>
            <w:r>
              <w:rPr>
                <w:sz w:val="24"/>
                <w:szCs w:val="24"/>
              </w:rPr>
              <w:t xml:space="preserve">Участником </w:t>
            </w:r>
            <w:r w:rsidRPr="00E01C05">
              <w:rPr>
                <w:sz w:val="24"/>
                <w:szCs w:val="24"/>
              </w:rPr>
              <w:t>не предоставлен</w:t>
            </w:r>
          </w:p>
        </w:tc>
      </w:tr>
      <w:tr w:rsidR="009D1CD0" w:rsidRPr="0038289F" w:rsidTr="009D1CD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4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4348E5" w:rsidRDefault="009D1CD0" w:rsidP="002E398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</w:t>
            </w:r>
            <w:r w:rsidRPr="004348E5">
              <w:rPr>
                <w:sz w:val="24"/>
                <w:szCs w:val="24"/>
              </w:rPr>
              <w:t xml:space="preserve"> содержит опросные листы из закупочной документации Заказчика, а не опросные листы, подготовленные Участником для предлагаемого оборудования, что не соответствует п. 5</w:t>
            </w:r>
            <w:proofErr w:type="gramStart"/>
            <w:r w:rsidRPr="004348E5">
              <w:rPr>
                <w:sz w:val="24"/>
                <w:szCs w:val="24"/>
              </w:rPr>
              <w:t>.</w:t>
            </w:r>
            <w:proofErr w:type="gramEnd"/>
            <w:r w:rsidRPr="004348E5">
              <w:rPr>
                <w:sz w:val="24"/>
                <w:szCs w:val="24"/>
              </w:rPr>
              <w:t>4. технических требований в котором указано предоставление опросных листов с описанием устанавливаемого оборудования</w:t>
            </w:r>
          </w:p>
          <w:p w:rsidR="009D1CD0" w:rsidRPr="0038289F" w:rsidRDefault="009D1CD0" w:rsidP="002E398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348E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4348E5">
              <w:rPr>
                <w:b/>
                <w:sz w:val="24"/>
                <w:szCs w:val="24"/>
              </w:rPr>
              <w:t xml:space="preserve">замечание не снято, </w:t>
            </w:r>
            <w:r w:rsidRPr="004348E5">
              <w:rPr>
                <w:sz w:val="24"/>
                <w:szCs w:val="24"/>
              </w:rPr>
              <w:t>ответ на дополнительный запрос Участником не предоставлен</w:t>
            </w:r>
          </w:p>
        </w:tc>
      </w:tr>
      <w:tr w:rsidR="009D1CD0" w:rsidRPr="0038289F" w:rsidTr="009D1CD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5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Default="009D1CD0" w:rsidP="009D1CD0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19" w:firstLine="0"/>
              <w:rPr>
                <w:sz w:val="24"/>
                <w:szCs w:val="24"/>
              </w:rPr>
            </w:pPr>
            <w:r w:rsidRPr="00762FEC">
              <w:rPr>
                <w:sz w:val="24"/>
                <w:szCs w:val="24"/>
              </w:rPr>
              <w:t>Участник в составе заявки не представил документы подтверждающие опыт изготовления и поставки КТП, КМТП, СТП, либо опыт поставки КТП, КМТП, СТП</w:t>
            </w:r>
            <w:r>
              <w:rPr>
                <w:sz w:val="24"/>
                <w:szCs w:val="24"/>
              </w:rPr>
              <w:t>, что не соответствует п. 7.1 Технического требования на закупку КТП (</w:t>
            </w:r>
            <w:r w:rsidRPr="00762FEC">
              <w:rPr>
                <w:sz w:val="24"/>
                <w:szCs w:val="24"/>
              </w:rPr>
              <w:t>приложение 1 к Документации о закупке) в котором указано, что Участник должен иметь опыт изготовления и поставки КТП, КМТП, СТП, либо опыт поставки КТП, КМТП, СТП производимой изготовителем (в случае если это специально созданная организация, аффилированная изготовителю), при этом за последние 5 лет, предшествующие дате подачи заявки на участие в настоящей закупочной процедуре, участником должны быть исполнены обязательства в общем/совокупном объеме не менее 40% от НМЦ.</w:t>
            </w:r>
          </w:p>
          <w:p w:rsidR="009D1CD0" w:rsidRPr="00762FEC" w:rsidRDefault="009D1CD0" w:rsidP="009D1CD0">
            <w:pPr>
              <w:pStyle w:val="af3"/>
              <w:tabs>
                <w:tab w:val="clear" w:pos="1844"/>
                <w:tab w:val="left" w:pos="34"/>
                <w:tab w:val="left" w:pos="317"/>
                <w:tab w:val="left" w:pos="601"/>
              </w:tabs>
              <w:spacing w:line="240" w:lineRule="auto"/>
              <w:ind w:left="19" w:firstLine="0"/>
              <w:rPr>
                <w:sz w:val="24"/>
                <w:szCs w:val="24"/>
              </w:rPr>
            </w:pPr>
            <w:r w:rsidRPr="004348E5">
              <w:rPr>
                <w:sz w:val="24"/>
                <w:szCs w:val="24"/>
              </w:rPr>
              <w:t xml:space="preserve">По результатам направления дополнительного запроса в адрес Участника указанное </w:t>
            </w:r>
            <w:r w:rsidRPr="004348E5">
              <w:rPr>
                <w:b/>
                <w:sz w:val="24"/>
                <w:szCs w:val="24"/>
              </w:rPr>
              <w:t xml:space="preserve">замечание не снято, </w:t>
            </w:r>
            <w:r w:rsidRPr="004348E5">
              <w:rPr>
                <w:sz w:val="24"/>
                <w:szCs w:val="24"/>
              </w:rPr>
              <w:t>ответ на дополнительный запрос Участником не предоставлен</w:t>
            </w:r>
          </w:p>
        </w:tc>
      </w:tr>
    </w:tbl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Pr="00BE2FB5" w:rsidRDefault="009D1CD0" w:rsidP="009D1CD0">
      <w:pPr>
        <w:pStyle w:val="25"/>
        <w:tabs>
          <w:tab w:val="left" w:pos="0"/>
        </w:tabs>
        <w:rPr>
          <w:szCs w:val="24"/>
        </w:rPr>
      </w:pPr>
      <w:r w:rsidRPr="00BE2FB5">
        <w:rPr>
          <w:szCs w:val="24"/>
        </w:rPr>
        <w:t xml:space="preserve">Отклонить заявку Участника </w:t>
      </w:r>
      <w:r w:rsidRPr="00307539">
        <w:rPr>
          <w:b/>
        </w:rPr>
        <w:t>ЗАО</w:t>
      </w:r>
      <w:r w:rsidRPr="00307539">
        <w:rPr>
          <w:b/>
          <w:szCs w:val="24"/>
        </w:rPr>
        <w:t xml:space="preserve"> «</w:t>
      </w:r>
      <w:r w:rsidRPr="00307539">
        <w:rPr>
          <w:b/>
        </w:rPr>
        <w:t>Новации и бизнес в энергетике»</w:t>
      </w:r>
      <w:r w:rsidRPr="00307539">
        <w:rPr>
          <w:b/>
          <w:bCs/>
          <w:iCs/>
        </w:rPr>
        <w:t xml:space="preserve"> (заявка № 5)</w:t>
      </w:r>
      <w:r>
        <w:t xml:space="preserve"> </w:t>
      </w:r>
      <w:r w:rsidRPr="00BE2FB5">
        <w:rPr>
          <w:szCs w:val="24"/>
        </w:rPr>
        <w:t xml:space="preserve">от дальнейшего рассмотрения на основании </w:t>
      </w:r>
      <w:r>
        <w:rPr>
          <w:szCs w:val="24"/>
        </w:rPr>
        <w:t>подпункта г</w:t>
      </w:r>
      <w:r w:rsidRPr="00BE2FB5">
        <w:rPr>
          <w:szCs w:val="24"/>
        </w:rPr>
        <w:t>) пункта 4.9.6.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101"/>
      </w:tblGrid>
      <w:tr w:rsidR="009D1CD0" w:rsidRPr="00BE2FB5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№ п/п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CD0" w:rsidRPr="00BE2FB5" w:rsidRDefault="009D1CD0" w:rsidP="002E398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FB5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1CD0" w:rsidRPr="0038289F" w:rsidTr="009D1C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0" w:rsidRPr="0038289F" w:rsidRDefault="009D1CD0" w:rsidP="002E398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8289F">
              <w:rPr>
                <w:sz w:val="24"/>
                <w:szCs w:val="24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CD0" w:rsidRPr="00307539" w:rsidRDefault="009D1CD0" w:rsidP="002E3983">
            <w:pPr>
              <w:spacing w:line="240" w:lineRule="auto"/>
              <w:ind w:left="-20" w:firstLine="0"/>
              <w:rPr>
                <w:sz w:val="24"/>
                <w:szCs w:val="24"/>
              </w:rPr>
            </w:pPr>
            <w:r w:rsidRPr="00307539">
              <w:rPr>
                <w:sz w:val="24"/>
                <w:szCs w:val="24"/>
              </w:rPr>
              <w:t>Представленная участником декларация о соответствии от 31.05.2017 подтверждает соответствие ТУ 3412-01-91862009-2011 от 27.12.2011 в которых отсутствуют типы ТП: СТП и МТП. В соответствии с п.5.1.9 ГОСТ Р 56532-2015 «</w:t>
            </w:r>
            <w:r w:rsidRPr="00307539">
              <w:rPr>
                <w:i/>
                <w:sz w:val="24"/>
                <w:szCs w:val="24"/>
              </w:rPr>
              <w:t>При внесении изменений в продукцию, влияющих</w:t>
            </w:r>
            <w:bookmarkStart w:id="2" w:name="_GoBack"/>
            <w:bookmarkEnd w:id="2"/>
            <w:r w:rsidRPr="00307539">
              <w:rPr>
                <w:i/>
                <w:sz w:val="24"/>
                <w:szCs w:val="24"/>
              </w:rPr>
              <w:t xml:space="preserve"> на показатели, подтвержденные декларацией о соответствии, при изменении требований нормативных документов, а также при реорганизации юридического лица заявителя оформляется новая декларация о соответствии и регистрируется заново в установленном порядке». </w:t>
            </w:r>
            <w:r w:rsidRPr="00307539">
              <w:rPr>
                <w:sz w:val="24"/>
                <w:szCs w:val="24"/>
              </w:rPr>
              <w:t>Таким образом для ТУ 3412-01-91862009-2011 от 27.12.2017 с внесенными изменениями необходимо получение новой декларации о соответствии.</w:t>
            </w:r>
          </w:p>
        </w:tc>
      </w:tr>
    </w:tbl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8</w:t>
      </w:r>
    </w:p>
    <w:p w:rsidR="009D1CD0" w:rsidRDefault="009D1CD0" w:rsidP="009D1CD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D1CD0" w:rsidRDefault="009D1CD0" w:rsidP="009D1CD0">
      <w:pPr>
        <w:pStyle w:val="a9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8289F">
        <w:rPr>
          <w:sz w:val="24"/>
          <w:szCs w:val="24"/>
        </w:rPr>
        <w:t>Признать заявки</w:t>
      </w:r>
    </w:p>
    <w:p w:rsidR="009D1CD0" w:rsidRPr="006873F8" w:rsidRDefault="007B7767" w:rsidP="009D1CD0">
      <w:pPr>
        <w:pStyle w:val="a9"/>
        <w:numPr>
          <w:ilvl w:val="0"/>
          <w:numId w:val="1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заявка </w:t>
      </w:r>
      <w:r w:rsidR="009D1CD0" w:rsidRPr="006873F8">
        <w:rPr>
          <w:sz w:val="24"/>
          <w:szCs w:val="24"/>
        </w:rPr>
        <w:t>№ 1 желательные» условия Протокола разногласий Заказчиком не принимаются и не будут учитываться при заключении Договора,</w:t>
      </w:r>
    </w:p>
    <w:p w:rsidR="009D1CD0" w:rsidRPr="006873F8" w:rsidRDefault="007B7767" w:rsidP="009D1CD0">
      <w:pPr>
        <w:pStyle w:val="a9"/>
        <w:numPr>
          <w:ilvl w:val="0"/>
          <w:numId w:val="1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9D1CD0" w:rsidRPr="006873F8">
        <w:rPr>
          <w:sz w:val="24"/>
          <w:szCs w:val="24"/>
        </w:rPr>
        <w:t xml:space="preserve">№ 2, </w:t>
      </w:r>
    </w:p>
    <w:p w:rsidR="009D1CD0" w:rsidRPr="006873F8" w:rsidRDefault="007B7767" w:rsidP="009D1CD0">
      <w:pPr>
        <w:pStyle w:val="a9"/>
        <w:numPr>
          <w:ilvl w:val="0"/>
          <w:numId w:val="19"/>
        </w:numPr>
        <w:spacing w:line="240" w:lineRule="auto"/>
        <w:ind w:left="1701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9D1CD0" w:rsidRPr="006873F8">
        <w:rPr>
          <w:sz w:val="24"/>
          <w:szCs w:val="24"/>
        </w:rPr>
        <w:t>№ 3</w:t>
      </w:r>
      <w:r w:rsidR="009D1CD0" w:rsidRPr="006873F8">
        <w:rPr>
          <w:b/>
          <w:sz w:val="24"/>
          <w:szCs w:val="24"/>
        </w:rPr>
        <w:t xml:space="preserve"> </w:t>
      </w:r>
    </w:p>
    <w:p w:rsidR="009D1CD0" w:rsidRPr="006873F8" w:rsidRDefault="009D1CD0" w:rsidP="009D1CD0">
      <w:pPr>
        <w:spacing w:line="240" w:lineRule="auto"/>
        <w:ind w:firstLine="0"/>
        <w:rPr>
          <w:sz w:val="24"/>
          <w:szCs w:val="24"/>
        </w:rPr>
      </w:pPr>
      <w:r w:rsidRPr="006873F8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9D1CD0" w:rsidRPr="00455714" w:rsidRDefault="009D1CD0" w:rsidP="009D1CD0">
      <w:pPr>
        <w:pStyle w:val="25"/>
        <w:numPr>
          <w:ilvl w:val="0"/>
          <w:numId w:val="18"/>
        </w:numPr>
        <w:tabs>
          <w:tab w:val="left" w:pos="426"/>
          <w:tab w:val="left" w:pos="851"/>
        </w:tabs>
        <w:ind w:left="0" w:firstLine="567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D1CD0" w:rsidRDefault="009D1CD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D1CD0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D1CD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97" w:rsidRDefault="00103897" w:rsidP="00355095">
      <w:pPr>
        <w:spacing w:line="240" w:lineRule="auto"/>
      </w:pPr>
      <w:r>
        <w:separator/>
      </w:r>
    </w:p>
  </w:endnote>
  <w:endnote w:type="continuationSeparator" w:id="0">
    <w:p w:rsidR="00103897" w:rsidRDefault="001038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2F8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22F8F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97" w:rsidRDefault="00103897" w:rsidP="00355095">
      <w:pPr>
        <w:spacing w:line="240" w:lineRule="auto"/>
      </w:pPr>
      <w:r>
        <w:separator/>
      </w:r>
    </w:p>
  </w:footnote>
  <w:footnote w:type="continuationSeparator" w:id="0">
    <w:p w:rsidR="00103897" w:rsidRDefault="001038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D0" w:rsidRPr="00851ECF" w:rsidRDefault="009D1CD0" w:rsidP="009D1CD0">
    <w:pPr>
      <w:pStyle w:val="ad"/>
      <w:jc w:val="right"/>
      <w:rPr>
        <w:i/>
        <w:sz w:val="20"/>
      </w:rPr>
    </w:pPr>
    <w:proofErr w:type="gramStart"/>
    <w:r>
      <w:rPr>
        <w:i/>
        <w:sz w:val="20"/>
      </w:rPr>
      <w:t xml:space="preserve">Протокол </w:t>
    </w:r>
    <w:r>
      <w:rPr>
        <w:i/>
        <w:sz w:val="20"/>
      </w:rPr>
      <w:t xml:space="preserve"> рассмотрени</w:t>
    </w:r>
    <w:r>
      <w:rPr>
        <w:i/>
        <w:sz w:val="20"/>
      </w:rPr>
      <w:t>я</w:t>
    </w:r>
    <w:proofErr w:type="gramEnd"/>
    <w:r>
      <w:rPr>
        <w:i/>
        <w:sz w:val="20"/>
      </w:rPr>
      <w:t xml:space="preserve"> заявок (закупка 14.1 раздел 2.2.2 ГКПЗ 2020)</w:t>
    </w:r>
  </w:p>
  <w:p w:rsidR="00355095" w:rsidRPr="009D1CD0" w:rsidRDefault="00355095" w:rsidP="009D1CD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7D463A"/>
    <w:multiLevelType w:val="hybridMultilevel"/>
    <w:tmpl w:val="5EAC71BA"/>
    <w:lvl w:ilvl="0" w:tplc="8F343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D60F2"/>
    <w:multiLevelType w:val="hybridMultilevel"/>
    <w:tmpl w:val="F326B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BF202E"/>
    <w:multiLevelType w:val="hybridMultilevel"/>
    <w:tmpl w:val="53B01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14"/>
  </w:num>
  <w:num w:numId="11">
    <w:abstractNumId w:val="17"/>
  </w:num>
  <w:num w:numId="12">
    <w:abstractNumId w:val="5"/>
  </w:num>
  <w:num w:numId="13">
    <w:abstractNumId w:val="3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2F8F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2CA0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B7767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CD0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B63FE"/>
  <w15:docId w15:val="{AAAA3CDF-55A6-4BDA-8A29-3BD67745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header">
    <w:name w:val="Table_header"/>
    <w:basedOn w:val="a"/>
    <w:rsid w:val="009D1CD0"/>
    <w:pPr>
      <w:spacing w:before="120" w:line="240" w:lineRule="auto"/>
      <w:ind w:firstLine="0"/>
    </w:pPr>
    <w:rPr>
      <w:b/>
      <w:snapToGrid/>
      <w:sz w:val="20"/>
      <w:szCs w:val="24"/>
    </w:rPr>
  </w:style>
  <w:style w:type="table" w:customStyle="1" w:styleId="5">
    <w:name w:val="Сетка таблицы5"/>
    <w:basedOn w:val="a1"/>
    <w:next w:val="af6"/>
    <w:uiPriority w:val="59"/>
    <w:rsid w:val="009D1C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9D1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63B55-5B6F-4C4D-8BE7-186A3581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2019-10-25T04:51:00Z</cp:lastPrinted>
  <dcterms:created xsi:type="dcterms:W3CDTF">2019-10-25T04:37:00Z</dcterms:created>
  <dcterms:modified xsi:type="dcterms:W3CDTF">2019-10-25T06:34:00Z</dcterms:modified>
</cp:coreProperties>
</file>