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6CD8FEC3"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476F16" w:rsidRPr="00476F16">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с. Кневичи, п. Новый, с. Прохладное)</w:t>
      </w:r>
      <w:r w:rsidR="00B01BC3" w:rsidRPr="00C55B01">
        <w:br/>
      </w:r>
    </w:p>
    <w:p w14:paraId="1129C407" w14:textId="77777777" w:rsidR="00D51C4F" w:rsidRPr="00C55B01" w:rsidRDefault="00D51C4F" w:rsidP="00D51C4F">
      <w:pPr>
        <w:jc w:val="center"/>
      </w:pPr>
    </w:p>
    <w:p w14:paraId="0A5207F4" w14:textId="3F9DAD7E" w:rsidR="00EC5F37" w:rsidRPr="00C55B01" w:rsidRDefault="00D51C4F" w:rsidP="00D51C4F">
      <w:pPr>
        <w:jc w:val="center"/>
      </w:pPr>
      <w:r w:rsidRPr="00C55B01">
        <w:t>(ЛОТ №</w:t>
      </w:r>
      <w:r w:rsidR="00EF3748" w:rsidRPr="00EF3748">
        <w:t>11950</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A82972">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A82972">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A82972">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A82972">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A82972">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A82972">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A82972">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A82972">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A82972">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A82972">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A82972">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A82972">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A82972">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A82972">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A82972">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A82972">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A82972">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A82972">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A82972">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A82972">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A82972">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A82972">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A82972">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A82972">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A82972">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A82972">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A82972">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A82972">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A82972">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A82972">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A82972">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A82972">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A82972">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A82972">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A82972">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A82972">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A82972">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A82972">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A82972">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A82972">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A82972">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A82972">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A82972">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A82972">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A82972">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A82972">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A82972">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A82972">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A82972">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A82972">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A82972">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A82972">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A82972">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A82972">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A82972">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A82972">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A82972">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A82972">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CEE2EEC" w:rsidR="00EB40F6" w:rsidRPr="00BA04C6" w:rsidRDefault="00EB40F6" w:rsidP="00476F16">
            <w:pPr>
              <w:spacing w:after="120"/>
              <w:rPr>
                <w:rStyle w:val="af8"/>
                <w:b w:val="0"/>
                <w:snapToGrid/>
              </w:rPr>
            </w:pPr>
            <w:r w:rsidRPr="006A7ADF">
              <w:rPr>
                <w:sz w:val="24"/>
                <w:szCs w:val="24"/>
              </w:rPr>
              <w:t>Лот №</w:t>
            </w:r>
            <w:r w:rsidR="00476F16">
              <w:rPr>
                <w:b/>
                <w:sz w:val="24"/>
                <w:szCs w:val="24"/>
              </w:rPr>
              <w:t>11950</w:t>
            </w:r>
            <w:r w:rsidRPr="006A7ADF">
              <w:rPr>
                <w:sz w:val="24"/>
                <w:szCs w:val="24"/>
              </w:rPr>
              <w:t xml:space="preserve">: </w:t>
            </w:r>
            <w:r w:rsidR="00476F16" w:rsidRPr="00476F16">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с. Кневичи, п. Новый, с. Прохладное)</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A82972"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BB4C6A" w:rsidR="00EB40F6" w:rsidRPr="00BA04C6" w:rsidRDefault="00476F16" w:rsidP="00CC5385">
            <w:pPr>
              <w:rPr>
                <w:rStyle w:val="af8"/>
                <w:b w:val="0"/>
                <w:snapToGrid/>
              </w:rPr>
            </w:pPr>
            <w:r>
              <w:rPr>
                <w:sz w:val="24"/>
                <w:szCs w:val="24"/>
              </w:rPr>
              <w:t>02.08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B8061AF"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76F16" w:rsidRPr="00476F16">
              <w:rPr>
                <w:rFonts w:ascii="Times New Roman" w:eastAsia="Times New Roman" w:hAnsi="Times New Roman"/>
                <w:b/>
                <w:noProof w:val="0"/>
                <w:snapToGrid w:val="0"/>
                <w:sz w:val="26"/>
                <w:u w:val="single"/>
                <w:lang w:eastAsia="ru-RU"/>
              </w:rPr>
              <w:t>3 642 071.71</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467FB870" w:rsidR="00EB40F6" w:rsidRPr="006A7ADF" w:rsidRDefault="00476F16" w:rsidP="00EB40F6">
            <w:pPr>
              <w:spacing w:before="0"/>
              <w:rPr>
                <w:b/>
                <w:snapToGrid/>
                <w:sz w:val="24"/>
                <w:szCs w:val="24"/>
              </w:rPr>
            </w:pPr>
            <w:r>
              <w:rPr>
                <w:b/>
                <w:snapToGrid/>
                <w:sz w:val="24"/>
                <w:szCs w:val="24"/>
              </w:rPr>
              <w:t>12.08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460A8974" w:rsidR="00EB40F6" w:rsidRPr="006A7ADF" w:rsidRDefault="00476F16" w:rsidP="00EB40F6">
            <w:pPr>
              <w:spacing w:before="0"/>
              <w:rPr>
                <w:b/>
                <w:sz w:val="24"/>
                <w:szCs w:val="24"/>
              </w:rPr>
            </w:pPr>
            <w:r>
              <w:rPr>
                <w:b/>
                <w:sz w:val="24"/>
                <w:szCs w:val="24"/>
              </w:rPr>
              <w:t>02.08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6949349F" w:rsidR="00EB40F6" w:rsidRPr="003A4D98" w:rsidRDefault="00476F16" w:rsidP="00EB40F6">
            <w:pPr>
              <w:pStyle w:val="Tabletext"/>
              <w:spacing w:after="120"/>
              <w:rPr>
                <w:rStyle w:val="af8"/>
                <w:b w:val="0"/>
                <w:i w:val="0"/>
                <w:snapToGrid w:val="0"/>
                <w:sz w:val="26"/>
                <w:szCs w:val="26"/>
                <w:shd w:val="clear" w:color="auto" w:fill="auto"/>
              </w:rPr>
            </w:pPr>
            <w:r>
              <w:rPr>
                <w:b/>
                <w:sz w:val="24"/>
              </w:rPr>
              <w:t>12.08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3EE73DBC" w:rsidR="00EB40F6" w:rsidRPr="00BA04C6" w:rsidRDefault="00476F16" w:rsidP="003E6E4F">
            <w:pPr>
              <w:pStyle w:val="Tabletext"/>
              <w:spacing w:after="120"/>
              <w:rPr>
                <w:sz w:val="26"/>
                <w:szCs w:val="26"/>
              </w:rPr>
            </w:pPr>
            <w:bookmarkStart w:id="57" w:name="_GoBack"/>
            <w:r>
              <w:rPr>
                <w:b/>
                <w:snapToGrid w:val="0"/>
                <w:sz w:val="24"/>
              </w:rPr>
              <w:t>2</w:t>
            </w:r>
            <w:r w:rsidR="003E6E4F">
              <w:rPr>
                <w:b/>
                <w:snapToGrid w:val="0"/>
                <w:sz w:val="24"/>
              </w:rPr>
              <w:t>7</w:t>
            </w:r>
            <w:r>
              <w:rPr>
                <w:b/>
                <w:snapToGrid w:val="0"/>
                <w:sz w:val="24"/>
              </w:rPr>
              <w:t>.08</w:t>
            </w:r>
            <w:r w:rsidR="00EB40F6" w:rsidRPr="006A7ADF">
              <w:rPr>
                <w:b/>
                <w:snapToGrid w:val="0"/>
                <w:sz w:val="24"/>
              </w:rPr>
              <w:t xml:space="preserve">.2019 </w:t>
            </w:r>
            <w:bookmarkEnd w:id="57"/>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6F5A6" w14:textId="77777777" w:rsidR="00A82972" w:rsidRDefault="00A82972">
      <w:r>
        <w:separator/>
      </w:r>
    </w:p>
  </w:endnote>
  <w:endnote w:type="continuationSeparator" w:id="0">
    <w:p w14:paraId="29994D35" w14:textId="77777777" w:rsidR="00A82972" w:rsidRDefault="00A8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036CE2"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6E4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6E4F">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43FFB84C"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6E4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6E4F">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496C0" w14:textId="77777777" w:rsidR="00A82972" w:rsidRDefault="00A82972">
      <w:r>
        <w:separator/>
      </w:r>
    </w:p>
  </w:footnote>
  <w:footnote w:type="continuationSeparator" w:id="0">
    <w:p w14:paraId="3CEDC58F" w14:textId="77777777" w:rsidR="00A82972" w:rsidRDefault="00A82972">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6E4F"/>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972"/>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5E62-A629-47CC-9D38-4B0257CD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31179</Words>
  <Characters>177724</Characters>
  <Application>Microsoft Office Word</Application>
  <DocSecurity>0</DocSecurity>
  <Lines>1481</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208487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382</cp:revision>
  <cp:lastPrinted>2018-05-25T11:25:00Z</cp:lastPrinted>
  <dcterms:created xsi:type="dcterms:W3CDTF">2018-06-01T22:59:00Z</dcterms:created>
  <dcterms:modified xsi:type="dcterms:W3CDTF">2019-08-02T05:39:00Z</dcterms:modified>
</cp:coreProperties>
</file>