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6B568D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7A69AC">
              <w:rPr>
                <w:b/>
                <w:bCs/>
                <w:sz w:val="22"/>
                <w:szCs w:val="22"/>
              </w:rPr>
              <w:t>853/УКС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6B568D" w:rsidP="0042325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4232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04529D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580E93">
              <w:rPr>
                <w:b/>
                <w:sz w:val="22"/>
                <w:szCs w:val="22"/>
              </w:rPr>
              <w:t>1195</w:t>
            </w:r>
            <w:r w:rsidR="0004529D">
              <w:rPr>
                <w:b/>
                <w:sz w:val="22"/>
                <w:szCs w:val="22"/>
              </w:rPr>
              <w:t>1</w:t>
            </w:r>
            <w:r w:rsidRPr="00DB6D3F">
              <w:rPr>
                <w:sz w:val="22"/>
                <w:szCs w:val="22"/>
              </w:rPr>
              <w:t xml:space="preserve">: </w:t>
            </w:r>
            <w:r w:rsidR="0004529D" w:rsidRPr="0004529D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</w:t>
            </w:r>
            <w:r w:rsidR="0004529D" w:rsidRPr="0004529D">
              <w:rPr>
                <w:b/>
                <w:i/>
                <w:sz w:val="22"/>
                <w:szCs w:val="22"/>
              </w:rPr>
              <w:lastRenderedPageBreak/>
              <w:t>(</w:t>
            </w:r>
            <w:proofErr w:type="spellStart"/>
            <w:r w:rsidR="0004529D" w:rsidRPr="0004529D">
              <w:rPr>
                <w:b/>
                <w:i/>
                <w:sz w:val="22"/>
                <w:szCs w:val="22"/>
              </w:rPr>
              <w:t>Шкотовский</w:t>
            </w:r>
            <w:proofErr w:type="spellEnd"/>
            <w:r w:rsidR="0004529D" w:rsidRPr="0004529D">
              <w:rPr>
                <w:b/>
                <w:i/>
                <w:sz w:val="22"/>
                <w:szCs w:val="22"/>
              </w:rPr>
              <w:t xml:space="preserve"> район, г. Большой Камень, с. Петровка, г. Фокино, </w:t>
            </w:r>
            <w:proofErr w:type="spellStart"/>
            <w:r w:rsidR="0004529D" w:rsidRPr="0004529D">
              <w:rPr>
                <w:b/>
                <w:i/>
                <w:sz w:val="22"/>
                <w:szCs w:val="22"/>
              </w:rPr>
              <w:t>пгт</w:t>
            </w:r>
            <w:proofErr w:type="spellEnd"/>
            <w:r w:rsidR="0004529D" w:rsidRPr="0004529D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04529D" w:rsidRPr="0004529D">
              <w:rPr>
                <w:b/>
                <w:i/>
                <w:sz w:val="22"/>
                <w:szCs w:val="22"/>
              </w:rPr>
              <w:t>Смоляниново</w:t>
            </w:r>
            <w:proofErr w:type="spellEnd"/>
            <w:r w:rsidR="0004529D" w:rsidRPr="0004529D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bookmarkStart w:id="3" w:name="_GoBack"/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</w:t>
            </w:r>
            <w:bookmarkEnd w:id="3"/>
            <w:r w:rsidRPr="00ED6507">
              <w:rPr>
                <w:b w:val="0"/>
                <w:snapToGrid w:val="0"/>
                <w:sz w:val="24"/>
              </w:rPr>
              <w:t>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04529D" w:rsidRPr="0004529D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5 206 107.40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9598F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23255">
              <w:rPr>
                <w:b/>
                <w:sz w:val="24"/>
                <w:szCs w:val="24"/>
              </w:rPr>
              <w:t>5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6B568D" w:rsidP="004232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</w:t>
            </w:r>
            <w:r w:rsidR="004232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Исп. </w:t>
      </w:r>
      <w:r w:rsidRPr="000E334A">
        <w:t>Игнатова Т.А.</w:t>
      </w: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5793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622B9"/>
    <w:rsid w:val="00467513"/>
    <w:rsid w:val="00480702"/>
    <w:rsid w:val="004943FC"/>
    <w:rsid w:val="004B7EC5"/>
    <w:rsid w:val="00580E93"/>
    <w:rsid w:val="005E0BCF"/>
    <w:rsid w:val="006B568D"/>
    <w:rsid w:val="006C6EDE"/>
    <w:rsid w:val="007023F2"/>
    <w:rsid w:val="007119D6"/>
    <w:rsid w:val="00726DF7"/>
    <w:rsid w:val="00765920"/>
    <w:rsid w:val="007A69AC"/>
    <w:rsid w:val="00846C09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35D3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F172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FD75-FDD0-4F82-BD0B-C190FC09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67</cp:revision>
  <cp:lastPrinted>2018-12-28T01:20:00Z</cp:lastPrinted>
  <dcterms:created xsi:type="dcterms:W3CDTF">2018-12-28T01:25:00Z</dcterms:created>
  <dcterms:modified xsi:type="dcterms:W3CDTF">2019-08-05T07:27:00Z</dcterms:modified>
</cp:coreProperties>
</file>