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F1A35">
        <w:rPr>
          <w:rFonts w:ascii="Times New Roman" w:hAnsi="Times New Roman"/>
          <w:bCs w:val="0"/>
          <w:caps/>
          <w:sz w:val="28"/>
          <w:szCs w:val="28"/>
        </w:rPr>
        <w:t>540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3711F3" w:rsidRDefault="00623A9C" w:rsidP="003711F3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1F1A35" w:rsidRPr="001F1A35">
        <w:rPr>
          <w:b/>
          <w:bCs/>
          <w:snapToGrid w:val="0"/>
          <w:szCs w:val="28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(Хасанский район, п. Витязь, с. Рисовая Падь, с. Безверхово, п. Перевозное)»</w:t>
      </w:r>
      <w:r w:rsidR="003711F3" w:rsidRPr="00CF6D1A">
        <w:rPr>
          <w:b/>
          <w:bCs/>
          <w:snapToGrid w:val="0"/>
          <w:szCs w:val="28"/>
        </w:rPr>
        <w:t>,</w:t>
      </w:r>
      <w:r w:rsidR="002663CF">
        <w:rPr>
          <w:b/>
          <w:bCs/>
          <w:snapToGrid w:val="0"/>
          <w:szCs w:val="28"/>
        </w:rPr>
        <w:t xml:space="preserve"> закупка 11932</w:t>
      </w: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8615A0" w:rsidRPr="008615A0">
              <w:rPr>
                <w:b/>
                <w:snapToGrid/>
                <w:sz w:val="24"/>
                <w:szCs w:val="24"/>
              </w:rPr>
              <w:t>3190</w:t>
            </w:r>
            <w:r w:rsidR="001F1A35">
              <w:rPr>
                <w:b/>
                <w:snapToGrid/>
                <w:sz w:val="24"/>
                <w:szCs w:val="24"/>
              </w:rPr>
              <w:t>8090706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F95A1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95A15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C311C">
              <w:rPr>
                <w:b/>
                <w:snapToGrid/>
                <w:sz w:val="26"/>
                <w:szCs w:val="26"/>
              </w:rPr>
              <w:t>а</w:t>
            </w:r>
            <w:r w:rsidR="003711F3">
              <w:rPr>
                <w:b/>
                <w:snapToGrid/>
                <w:sz w:val="26"/>
                <w:szCs w:val="26"/>
              </w:rPr>
              <w:t>вгуста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1F1A35" w:rsidRPr="001F1A35">
        <w:rPr>
          <w:bCs/>
          <w:sz w:val="26"/>
          <w:szCs w:val="26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(Хасанский район, п. Витязь, с. Рисовая Падь, с. Безверхово, п. Перевозное)»</w:t>
      </w:r>
      <w:r w:rsidR="002663CF">
        <w:rPr>
          <w:bCs/>
          <w:sz w:val="26"/>
          <w:szCs w:val="26"/>
        </w:rPr>
        <w:t>, закупка 1193</w:t>
      </w:r>
      <w:r w:rsidR="001F1A35">
        <w:rPr>
          <w:bCs/>
          <w:sz w:val="26"/>
          <w:szCs w:val="26"/>
        </w:rPr>
        <w:t>2</w:t>
      </w:r>
    </w:p>
    <w:p w:rsidR="003711F3" w:rsidRDefault="003711F3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1F1A35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1F1A35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F1A35" w:rsidRPr="007A598F" w:rsidTr="001C4F6E">
        <w:trPr>
          <w:trHeight w:val="330"/>
        </w:trPr>
        <w:tc>
          <w:tcPr>
            <w:tcW w:w="1135" w:type="dxa"/>
            <w:vAlign w:val="center"/>
          </w:tcPr>
          <w:p w:rsidR="001F1A35" w:rsidRPr="00EC38FF" w:rsidRDefault="001F1A35" w:rsidP="001F1A3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35" w:rsidRPr="003245F6" w:rsidRDefault="001F1A35" w:rsidP="001F1A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</w:t>
            </w:r>
            <w:r w:rsidRPr="003245F6">
              <w:rPr>
                <w:sz w:val="26"/>
                <w:szCs w:val="26"/>
              </w:rPr>
              <w:t xml:space="preserve"> «Уссурэлектромонтаж» ИНН/КПП 2511038625/251101001 ОГРН 1022500866838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35" w:rsidRPr="003245F6" w:rsidRDefault="001F1A35" w:rsidP="001F1A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245F6">
              <w:rPr>
                <w:sz w:val="26"/>
                <w:szCs w:val="26"/>
              </w:rPr>
              <w:t>22.07.2019 07:15</w:t>
            </w:r>
          </w:p>
        </w:tc>
      </w:tr>
      <w:tr w:rsidR="001F1A35" w:rsidRPr="00455714" w:rsidTr="001C4F6E">
        <w:trPr>
          <w:trHeight w:val="378"/>
        </w:trPr>
        <w:tc>
          <w:tcPr>
            <w:tcW w:w="1135" w:type="dxa"/>
            <w:vAlign w:val="center"/>
          </w:tcPr>
          <w:p w:rsidR="001F1A35" w:rsidRPr="00455714" w:rsidRDefault="001F1A35" w:rsidP="001F1A3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35" w:rsidRPr="003245F6" w:rsidRDefault="001F1A35" w:rsidP="001F1A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"ТЕХЦЕНТР" ИНН/КПП 2539057716/253901001 </w:t>
            </w:r>
            <w:r w:rsidRPr="003245F6">
              <w:rPr>
                <w:sz w:val="26"/>
                <w:szCs w:val="26"/>
              </w:rPr>
              <w:t>ОГРН 1032502131056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35" w:rsidRPr="003245F6" w:rsidRDefault="001F1A35" w:rsidP="001F1A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245F6">
              <w:rPr>
                <w:sz w:val="26"/>
                <w:szCs w:val="26"/>
              </w:rPr>
              <w:t>22.07.2019 08:53</w:t>
            </w:r>
          </w:p>
        </w:tc>
      </w:tr>
      <w:tr w:rsidR="001F1A35" w:rsidRPr="00455714" w:rsidTr="001C4F6E">
        <w:trPr>
          <w:trHeight w:val="378"/>
        </w:trPr>
        <w:tc>
          <w:tcPr>
            <w:tcW w:w="1135" w:type="dxa"/>
            <w:vAlign w:val="center"/>
          </w:tcPr>
          <w:p w:rsidR="001F1A35" w:rsidRPr="00455714" w:rsidRDefault="001F1A35" w:rsidP="001F1A3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35" w:rsidRPr="003245F6" w:rsidRDefault="001F1A35" w:rsidP="001F1A3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8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</w:t>
            </w:r>
            <w:r w:rsidRPr="003245F6">
              <w:rPr>
                <w:sz w:val="26"/>
                <w:szCs w:val="26"/>
              </w:rPr>
              <w:t xml:space="preserve"> "Востокэнергосервис" ИНН/КПП 2536299964/253601001 ОГРН 1162536097866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35" w:rsidRPr="003245F6" w:rsidRDefault="001F1A35" w:rsidP="001F1A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245F6">
              <w:rPr>
                <w:sz w:val="26"/>
                <w:szCs w:val="26"/>
              </w:rPr>
              <w:t>22.07.2019 08:55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1F1A35" w:rsidRDefault="001F1A35" w:rsidP="001F1A35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502"/>
        <w:rPr>
          <w:bCs/>
          <w:i/>
          <w:iCs/>
          <w:sz w:val="26"/>
          <w:szCs w:val="26"/>
        </w:rPr>
      </w:pPr>
      <w:r w:rsidRPr="00996D2B">
        <w:rPr>
          <w:bCs/>
          <w:i/>
          <w:iCs/>
          <w:sz w:val="26"/>
          <w:szCs w:val="26"/>
        </w:rPr>
        <w:t>Об утверждении це</w:t>
      </w:r>
      <w:r>
        <w:rPr>
          <w:bCs/>
          <w:i/>
          <w:iCs/>
          <w:sz w:val="26"/>
          <w:szCs w:val="26"/>
        </w:rPr>
        <w:t>н поступивших заявок Участников</w:t>
      </w:r>
    </w:p>
    <w:p w:rsidR="001F1A35" w:rsidRDefault="001F1A35" w:rsidP="001F1A35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502"/>
        <w:rPr>
          <w:bCs/>
          <w:i/>
          <w:iCs/>
          <w:sz w:val="26"/>
          <w:szCs w:val="26"/>
        </w:rPr>
      </w:pPr>
      <w:r w:rsidRPr="00711978">
        <w:rPr>
          <w:bCs/>
          <w:i/>
          <w:iCs/>
          <w:sz w:val="26"/>
          <w:szCs w:val="26"/>
        </w:rPr>
        <w:t>Об отклонении заявки участника закупки ООО "Востокэнергосервис"</w:t>
      </w:r>
    </w:p>
    <w:p w:rsidR="001F1A35" w:rsidRDefault="001F1A35" w:rsidP="001F1A35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502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</w:t>
      </w:r>
    </w:p>
    <w:p w:rsidR="001F1A35" w:rsidRDefault="001F1A35" w:rsidP="001F1A35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502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 w:rsidRPr="003F6A54">
        <w:rPr>
          <w:bCs/>
          <w:i/>
          <w:iCs/>
          <w:sz w:val="26"/>
          <w:szCs w:val="26"/>
        </w:rPr>
        <w:t>ранжировке заявок</w:t>
      </w:r>
    </w:p>
    <w:p w:rsidR="001F1A35" w:rsidRPr="003F6A54" w:rsidRDefault="001F1A35" w:rsidP="001F1A35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502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 xml:space="preserve">О выборе победителя </w:t>
      </w:r>
      <w:r>
        <w:rPr>
          <w:bCs/>
          <w:i/>
          <w:iCs/>
          <w:sz w:val="26"/>
          <w:szCs w:val="26"/>
        </w:rPr>
        <w:t>закупки</w:t>
      </w:r>
      <w:r w:rsidRPr="003F6A54">
        <w:rPr>
          <w:bCs/>
          <w:i/>
          <w:iCs/>
          <w:sz w:val="26"/>
          <w:szCs w:val="26"/>
        </w:rPr>
        <w:t>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D2315" w:rsidRPr="00DD2315" w:rsidRDefault="00DD2315" w:rsidP="00DD2315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DD231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D2315" w:rsidRPr="00DD2315" w:rsidRDefault="00DD2315" w:rsidP="00DD2315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DD2315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387"/>
        <w:gridCol w:w="1967"/>
      </w:tblGrid>
      <w:tr w:rsidR="00DD2315" w:rsidRPr="00DD2315" w:rsidTr="007660CB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D231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D231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D231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D231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DD2315" w:rsidRPr="00DD2315" w:rsidTr="007660CB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DD2315">
              <w:rPr>
                <w:rFonts w:eastAsiaTheme="minorEastAsia"/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22.07.2019 07:15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8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«Уссурэлектромонтаж» ИНН/КПП 2511038625/251101001 ОГРН 1022500866838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5" w:rsidRPr="00DD2315" w:rsidRDefault="00DD2315" w:rsidP="00DD2315">
            <w:pPr>
              <w:spacing w:after="200" w:line="276" w:lineRule="auto"/>
              <w:ind w:left="139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2 507 306,71</w:t>
            </w:r>
          </w:p>
        </w:tc>
      </w:tr>
      <w:tr w:rsidR="00DD2315" w:rsidRPr="00DD2315" w:rsidTr="007660CB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DD2315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22.07.2019 08:53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8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"ТЕХЦЕНТР" ИНН/КПП 2539057716/253901001 ОГРН 1032502131056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5" w:rsidRPr="00DD2315" w:rsidRDefault="00DD2315" w:rsidP="00DD2315">
            <w:pPr>
              <w:spacing w:after="200" w:line="276" w:lineRule="auto"/>
              <w:ind w:left="139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2 505 000,00</w:t>
            </w:r>
          </w:p>
        </w:tc>
      </w:tr>
      <w:tr w:rsidR="00DD2315" w:rsidRPr="00DD2315" w:rsidTr="007660CB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DD2315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22.07.2019 08:55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8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"Востокэнергосервис" ИНН/КПП 2536299964/253601001 ОГРН 1162536097866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5" w:rsidRPr="00DD2315" w:rsidRDefault="00DD2315" w:rsidP="00DD2315">
            <w:pPr>
              <w:spacing w:after="200" w:line="276" w:lineRule="auto"/>
              <w:ind w:left="139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2 507 306,71</w:t>
            </w:r>
          </w:p>
        </w:tc>
      </w:tr>
    </w:tbl>
    <w:p w:rsidR="00DD2315" w:rsidRPr="00DD2315" w:rsidRDefault="00DD2315" w:rsidP="00DD2315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16"/>
          <w:szCs w:val="16"/>
          <w:shd w:val="clear" w:color="auto" w:fill="FFFF99"/>
        </w:rPr>
      </w:pP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D2315" w:rsidRPr="00DD2315" w:rsidRDefault="00DD2315" w:rsidP="00DD2315">
      <w:pPr>
        <w:numPr>
          <w:ilvl w:val="0"/>
          <w:numId w:val="40"/>
        </w:numPr>
        <w:tabs>
          <w:tab w:val="left" w:pos="993"/>
        </w:tabs>
        <w:spacing w:after="200" w:line="240" w:lineRule="auto"/>
        <w:ind w:left="0" w:firstLine="360"/>
        <w:contextualSpacing/>
        <w:jc w:val="left"/>
        <w:rPr>
          <w:snapToGrid/>
          <w:sz w:val="26"/>
          <w:szCs w:val="26"/>
        </w:rPr>
      </w:pPr>
      <w:r w:rsidRPr="00DD2315">
        <w:rPr>
          <w:snapToGrid/>
          <w:sz w:val="26"/>
          <w:szCs w:val="26"/>
        </w:rPr>
        <w:t xml:space="preserve">Отклонить заявку Участника </w:t>
      </w:r>
      <w:r w:rsidRPr="00DD2315">
        <w:rPr>
          <w:rFonts w:eastAsiaTheme="minorHAnsi"/>
          <w:b/>
          <w:i/>
          <w:snapToGrid/>
          <w:sz w:val="26"/>
          <w:szCs w:val="26"/>
          <w:lang w:eastAsia="en-US"/>
        </w:rPr>
        <w:t>ООО "Востокэнергосервис"</w:t>
      </w:r>
      <w:r w:rsidRPr="00DD2315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DD2315">
        <w:rPr>
          <w:snapToGrid/>
          <w:sz w:val="26"/>
          <w:szCs w:val="26"/>
        </w:rPr>
        <w:t>от дальнейшего рассмотрения на основании подпунктов «а,б» пункта 4.9.6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D2315" w:rsidRPr="00DD2315" w:rsidTr="007660CB">
        <w:tc>
          <w:tcPr>
            <w:tcW w:w="9747" w:type="dxa"/>
            <w:shd w:val="clear" w:color="auto" w:fill="auto"/>
          </w:tcPr>
          <w:p w:rsidR="00DD2315" w:rsidRPr="00DD2315" w:rsidRDefault="00DD2315" w:rsidP="00DD231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D2315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DD2315" w:rsidRPr="00DD2315" w:rsidTr="007660CB">
        <w:tc>
          <w:tcPr>
            <w:tcW w:w="9747" w:type="dxa"/>
            <w:shd w:val="clear" w:color="auto" w:fill="auto"/>
          </w:tcPr>
          <w:p w:rsidR="00DD2315" w:rsidRPr="00DD2315" w:rsidRDefault="00DD2315" w:rsidP="00DD23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1. Участником представлена копия выписки из ЕГРЮЛ, датированная 18.06.2019, что не соответствует пункту «а» подраздела 10.1 Приложения № 3 к Документации о закупке в котором установлено следующее: Участник должен включить в состав своей заявки выписку из ЕГРЮЛ, выданной не ранее чем за 1 (один) месяц до даты подачи заявки.</w:t>
            </w:r>
          </w:p>
        </w:tc>
      </w:tr>
      <w:tr w:rsidR="00DD2315" w:rsidRPr="00DD2315" w:rsidTr="007660CB">
        <w:tc>
          <w:tcPr>
            <w:tcW w:w="9747" w:type="dxa"/>
            <w:shd w:val="clear" w:color="auto" w:fill="auto"/>
          </w:tcPr>
          <w:p w:rsidR="00DD2315" w:rsidRPr="00DD2315" w:rsidRDefault="00DD2315" w:rsidP="00DD23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2.  Участником представлены копии выписок из реестра СРО (в области подготовки проектной документации и инженерных изысканий) датированные 17.06.2019, что не соответствует п. 6.1.3 ТЗ, в котором установлено следующее требование: дата выписок не должны быть старше одного месяца на дату подачи заявки.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DD2315" w:rsidRPr="00DD2315" w:rsidRDefault="00DD2315" w:rsidP="00DD2315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DD2315">
        <w:rPr>
          <w:b/>
          <w:sz w:val="26"/>
          <w:szCs w:val="26"/>
        </w:rPr>
        <w:t>Признать</w:t>
      </w:r>
      <w:r w:rsidRPr="00DD2315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DD2315" w:rsidRPr="00DD2315" w:rsidTr="007660CB">
        <w:trPr>
          <w:trHeight w:val="333"/>
        </w:trPr>
        <w:tc>
          <w:tcPr>
            <w:tcW w:w="739" w:type="dxa"/>
          </w:tcPr>
          <w:p w:rsidR="00DD2315" w:rsidRPr="00DD2315" w:rsidRDefault="00DD2315" w:rsidP="00DD23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z w:val="20"/>
              </w:rPr>
            </w:pPr>
            <w:r w:rsidRPr="00DD2315">
              <w:rPr>
                <w:b/>
                <w:i/>
                <w:sz w:val="20"/>
              </w:rPr>
              <w:t>№</w:t>
            </w:r>
          </w:p>
        </w:tc>
        <w:tc>
          <w:tcPr>
            <w:tcW w:w="5953" w:type="dxa"/>
          </w:tcPr>
          <w:p w:rsidR="00DD2315" w:rsidRPr="00DD2315" w:rsidRDefault="00DD2315" w:rsidP="00DD23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DD2315">
              <w:rPr>
                <w:b/>
                <w:i/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DD2315" w:rsidRPr="00DD2315" w:rsidRDefault="00DD2315" w:rsidP="00DD23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DD2315">
              <w:rPr>
                <w:b/>
                <w:i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D2315" w:rsidRPr="00DD2315" w:rsidTr="007660CB">
        <w:trPr>
          <w:trHeight w:val="230"/>
        </w:trPr>
        <w:tc>
          <w:tcPr>
            <w:tcW w:w="739" w:type="dxa"/>
          </w:tcPr>
          <w:p w:rsidR="00DD2315" w:rsidRPr="00DD2315" w:rsidRDefault="00DD2315" w:rsidP="00DD231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DD2315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5" w:rsidRPr="00DD2315" w:rsidRDefault="00DD2315" w:rsidP="00DD23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«Уссурэлектромонтаж» ИНН/КПП 2511038625/251101001 ОГРН 1022500866838</w:t>
            </w:r>
          </w:p>
        </w:tc>
        <w:tc>
          <w:tcPr>
            <w:tcW w:w="2789" w:type="dxa"/>
          </w:tcPr>
          <w:p w:rsidR="00DD2315" w:rsidRPr="00DD2315" w:rsidRDefault="00DD2315" w:rsidP="00DD231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DD2315" w:rsidRPr="00DD2315" w:rsidTr="007660CB">
        <w:trPr>
          <w:trHeight w:val="230"/>
        </w:trPr>
        <w:tc>
          <w:tcPr>
            <w:tcW w:w="739" w:type="dxa"/>
          </w:tcPr>
          <w:p w:rsidR="00DD2315" w:rsidRPr="00DD2315" w:rsidRDefault="00DD2315" w:rsidP="00DD23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DD2315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15" w:rsidRPr="00DD2315" w:rsidRDefault="00DD2315" w:rsidP="00DD231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"ТЕХЦЕНТР" ИНН/КПП 2539057716/253901001 ОГРН 1032502131056</w:t>
            </w:r>
          </w:p>
        </w:tc>
        <w:tc>
          <w:tcPr>
            <w:tcW w:w="2789" w:type="dxa"/>
          </w:tcPr>
          <w:p w:rsidR="00DD2315" w:rsidRPr="00DD2315" w:rsidRDefault="00DD2315" w:rsidP="00DD231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DD2315" w:rsidRPr="00DD2315" w:rsidRDefault="00DD2315" w:rsidP="00DD2315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DD231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DD2315" w:rsidRPr="00DD2315" w:rsidRDefault="00DD2315" w:rsidP="00DD2315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DD2315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1276"/>
        <w:gridCol w:w="1559"/>
        <w:gridCol w:w="1193"/>
      </w:tblGrid>
      <w:tr w:rsidR="00DD2315" w:rsidRPr="00DD2315" w:rsidTr="007660CB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315" w:rsidRPr="00DD2315" w:rsidRDefault="00DD2315" w:rsidP="00DD23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D2315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315" w:rsidRPr="00DD2315" w:rsidRDefault="00DD2315" w:rsidP="00DD23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D2315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2315" w:rsidRPr="00DD2315" w:rsidRDefault="00DD2315" w:rsidP="00DD23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D2315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D2315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D2315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D2315" w:rsidRPr="00DD2315" w:rsidTr="007660CB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D2315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"ТЕХЦЕНТР" ИНН/КПП 2539057716/253901001 ОГРН 1032502131056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22.07.19 08:53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EastAsia"/>
                <w:snapToGrid/>
                <w:sz w:val="26"/>
                <w:szCs w:val="26"/>
                <w:lang w:eastAsia="en-US"/>
              </w:rPr>
              <w:t>2 505 000,00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DD2315" w:rsidRPr="00DD2315" w:rsidTr="007660CB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D2315">
              <w:rPr>
                <w:snapToGrid/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«Уссурэлектромонтаж» ИНН/КПП 2511038625/251101001 ОГРН 1022500866838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sz w:val="26"/>
                <w:szCs w:val="26"/>
                <w:lang w:eastAsia="en-US"/>
              </w:rPr>
              <w:t>22.07.19 07:15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EastAsia"/>
                <w:snapToGrid/>
                <w:sz w:val="26"/>
                <w:szCs w:val="26"/>
                <w:lang w:eastAsia="en-US"/>
              </w:rPr>
              <w:t>2 507 306,71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315" w:rsidRPr="00DD2315" w:rsidRDefault="00DD2315" w:rsidP="00DD231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D231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473F87" w:rsidRDefault="00473F87" w:rsidP="00473F87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473F87" w:rsidRPr="00473F87" w:rsidRDefault="00473F87" w:rsidP="00473F87">
      <w:pPr>
        <w:numPr>
          <w:ilvl w:val="0"/>
          <w:numId w:val="39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HAnsi"/>
          <w:snapToGrid/>
          <w:sz w:val="26"/>
          <w:szCs w:val="26"/>
          <w:lang w:eastAsia="en-US"/>
        </w:rPr>
      </w:pPr>
      <w:r w:rsidRPr="00473F87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473F8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"ТЕХЦЕНТР" </w:t>
      </w:r>
      <w:r w:rsidRPr="00473F87">
        <w:rPr>
          <w:rFonts w:eastAsiaTheme="minorHAnsi"/>
          <w:snapToGrid/>
          <w:sz w:val="26"/>
          <w:szCs w:val="26"/>
          <w:lang w:eastAsia="en-US"/>
        </w:rPr>
        <w:t>ИНН/КПП 2539057716/253901001 ОГРН 1032502131056</w:t>
      </w:r>
      <w:r w:rsidRPr="00473F87">
        <w:rPr>
          <w:sz w:val="26"/>
          <w:szCs w:val="26"/>
        </w:rPr>
        <w:t xml:space="preserve"> с ценой заявки не более </w:t>
      </w:r>
      <w:r w:rsidRPr="00473F87">
        <w:rPr>
          <w:rFonts w:eastAsiaTheme="minorHAnsi"/>
          <w:snapToGrid/>
          <w:sz w:val="26"/>
          <w:szCs w:val="26"/>
          <w:lang w:eastAsia="en-US"/>
        </w:rPr>
        <w:t xml:space="preserve">2 505 000,00 </w:t>
      </w:r>
      <w:r w:rsidRPr="00473F87">
        <w:rPr>
          <w:sz w:val="26"/>
          <w:szCs w:val="26"/>
        </w:rPr>
        <w:t>руб. без учета НДС</w:t>
      </w:r>
    </w:p>
    <w:p w:rsidR="00473F87" w:rsidRPr="00473F87" w:rsidRDefault="00473F87" w:rsidP="00473F87">
      <w:pPr>
        <w:tabs>
          <w:tab w:val="left" w:pos="993"/>
        </w:tabs>
        <w:spacing w:after="200"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473F87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19.10.2019</w:t>
      </w:r>
    </w:p>
    <w:p w:rsidR="00473F87" w:rsidRPr="00473F87" w:rsidRDefault="00473F87" w:rsidP="00473F87">
      <w:pPr>
        <w:tabs>
          <w:tab w:val="left" w:pos="993"/>
        </w:tabs>
        <w:spacing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473F87">
        <w:rPr>
          <w:rFonts w:eastAsiaTheme="minorHAnsi"/>
          <w:sz w:val="26"/>
          <w:szCs w:val="26"/>
          <w:lang w:eastAsia="en-US"/>
        </w:rPr>
        <w:t>Условия оплаты: оплата выполненных работ производится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473F87" w:rsidRPr="00473F87" w:rsidRDefault="00473F87" w:rsidP="00473F87">
      <w:pPr>
        <w:numPr>
          <w:ilvl w:val="0"/>
          <w:numId w:val="39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HAnsi"/>
          <w:sz w:val="26"/>
          <w:szCs w:val="26"/>
          <w:lang w:eastAsia="en-US"/>
        </w:rPr>
      </w:pPr>
      <w:r w:rsidRPr="00473F87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73F87" w:rsidRPr="00473F87" w:rsidRDefault="00473F87" w:rsidP="00473F87">
      <w:pPr>
        <w:numPr>
          <w:ilvl w:val="0"/>
          <w:numId w:val="39"/>
        </w:numPr>
        <w:tabs>
          <w:tab w:val="left" w:pos="993"/>
        </w:tabs>
        <w:suppressAutoHyphens/>
        <w:spacing w:after="200" w:line="240" w:lineRule="auto"/>
        <w:ind w:left="0" w:firstLine="567"/>
        <w:rPr>
          <w:rFonts w:eastAsiaTheme="minorHAnsi" w:cstheme="minorBidi"/>
          <w:snapToGrid/>
          <w:sz w:val="26"/>
          <w:szCs w:val="26"/>
          <w:lang w:eastAsia="en-US"/>
        </w:rPr>
      </w:pPr>
      <w:r w:rsidRPr="00473F87">
        <w:rPr>
          <w:rFonts w:eastAsiaTheme="minorHAnsi" w:cstheme="minorBid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473F87" w:rsidRDefault="00473F87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11F3" w:rsidRDefault="003711F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11F3" w:rsidRDefault="003711F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11F3" w:rsidRDefault="003711F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11F3" w:rsidRDefault="003711F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11F3" w:rsidRDefault="003711F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13" w:rsidRDefault="00B07813" w:rsidP="00355095">
      <w:pPr>
        <w:spacing w:line="240" w:lineRule="auto"/>
      </w:pPr>
      <w:r>
        <w:separator/>
      </w:r>
    </w:p>
  </w:endnote>
  <w:endnote w:type="continuationSeparator" w:id="0">
    <w:p w:rsidR="00B07813" w:rsidRDefault="00B078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5A1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5A1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13" w:rsidRDefault="00B07813" w:rsidP="00355095">
      <w:pPr>
        <w:spacing w:line="240" w:lineRule="auto"/>
      </w:pPr>
      <w:r>
        <w:separator/>
      </w:r>
    </w:p>
  </w:footnote>
  <w:footnote w:type="continuationSeparator" w:id="0">
    <w:p w:rsidR="00B07813" w:rsidRDefault="00B078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</w:t>
    </w:r>
    <w:r w:rsidR="001F1A35">
      <w:rPr>
        <w:i/>
        <w:sz w:val="20"/>
      </w:rPr>
      <w:t>1932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5"/>
  </w:num>
  <w:num w:numId="9">
    <w:abstractNumId w:val="5"/>
  </w:num>
  <w:num w:numId="10">
    <w:abstractNumId w:val="32"/>
  </w:num>
  <w:num w:numId="11">
    <w:abstractNumId w:val="11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7"/>
  </w:num>
  <w:num w:numId="19">
    <w:abstractNumId w:val="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0"/>
  </w:num>
  <w:num w:numId="37">
    <w:abstractNumId w:val="15"/>
  </w:num>
  <w:num w:numId="38">
    <w:abstractNumId w:val="34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A35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663CF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11F3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1605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3F87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886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7813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90434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2315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5A15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3A60F"/>
  <w15:docId w15:val="{A6E4B58E-0B27-49DF-848A-3C9D5173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191</cp:revision>
  <cp:lastPrinted>2019-08-05T00:59:00Z</cp:lastPrinted>
  <dcterms:created xsi:type="dcterms:W3CDTF">2015-03-25T00:17:00Z</dcterms:created>
  <dcterms:modified xsi:type="dcterms:W3CDTF">2019-08-05T00:59:00Z</dcterms:modified>
</cp:coreProperties>
</file>