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45FE64B"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9B6D6B" w:rsidRPr="009B6D6B">
        <w:rPr>
          <w:b/>
          <w:sz w:val="28"/>
          <w:szCs w:val="28"/>
        </w:rPr>
        <w:t>Мероприятия по строительству и реконструкции для технологического присоединения потребителей Благовещенского района (с. Чигири) (заявитель ЗАО «АНК») к сетям 10-0,4 кВ</w:t>
      </w:r>
      <w:r w:rsidR="00B01BC3" w:rsidRPr="00673106">
        <w:rPr>
          <w:b/>
          <w:sz w:val="28"/>
          <w:szCs w:val="28"/>
        </w:rPr>
        <w:br/>
      </w:r>
    </w:p>
    <w:p w14:paraId="1129C407" w14:textId="77777777" w:rsidR="00D51C4F" w:rsidRPr="00C55B01" w:rsidRDefault="00D51C4F" w:rsidP="00D51C4F">
      <w:pPr>
        <w:jc w:val="center"/>
      </w:pPr>
    </w:p>
    <w:p w14:paraId="0A5207F4" w14:textId="7CC97254" w:rsidR="00EC5F37" w:rsidRPr="00C55B01" w:rsidRDefault="00D51C4F" w:rsidP="00D51C4F">
      <w:pPr>
        <w:jc w:val="center"/>
      </w:pPr>
      <w:r w:rsidRPr="00C55B01">
        <w:t>(ЛОТ №</w:t>
      </w:r>
      <w:r w:rsidR="00673106">
        <w:t>1092</w:t>
      </w:r>
      <w:r w:rsidR="009B6D6B">
        <w:t>9</w:t>
      </w:r>
      <w:r w:rsidR="0067310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B84025">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B84025">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w:t>
        </w:r>
        <w:r w:rsidR="006B68E5" w:rsidRPr="001F607E">
          <w:rPr>
            <w:rStyle w:val="aa"/>
          </w:rPr>
          <w:t>а</w:t>
        </w:r>
        <w:r w:rsidR="006B68E5" w:rsidRPr="001F607E">
          <w:rPr>
            <w:rStyle w:val="aa"/>
          </w:rPr>
          <w:t>ци</w:t>
        </w:r>
        <w:r w:rsidR="006B68E5" w:rsidRPr="001F607E">
          <w:rPr>
            <w:rStyle w:val="aa"/>
          </w:rPr>
          <w:t>я</w:t>
        </w:r>
        <w:r w:rsidR="006B68E5" w:rsidRPr="001F607E">
          <w:rPr>
            <w:rStyle w:val="aa"/>
          </w:rPr>
          <w:t xml:space="preserve">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B84025">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B84025">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B84025">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B84025">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B84025">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B84025">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B84025">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B84025">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B84025">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B84025">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B84025">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B84025">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B84025">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B84025">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B84025">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B84025">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B84025">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B84025">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B84025">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B84025">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B84025">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B84025">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B84025">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B84025">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B84025">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B84025">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B84025">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B84025">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B84025">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B84025">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B84025">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B84025">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B84025">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B84025">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B84025">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B84025">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B84025">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B84025">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B84025">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B84025">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B84025">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B84025">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B84025">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B84025">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B84025">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B84025">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B84025">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B84025">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B84025">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B84025">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B84025">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B84025">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B84025">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B84025">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B84025">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B84025">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B84025">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B84025">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B84025">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B84025">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B146433" w:rsidR="00673106" w:rsidRPr="00BA04C6" w:rsidRDefault="00673106" w:rsidP="009B6D6B">
            <w:pPr>
              <w:spacing w:after="120"/>
              <w:rPr>
                <w:rStyle w:val="afa"/>
                <w:b w:val="0"/>
                <w:snapToGrid/>
              </w:rPr>
            </w:pPr>
            <w:r w:rsidRPr="00A53D17">
              <w:rPr>
                <w:sz w:val="24"/>
                <w:szCs w:val="24"/>
              </w:rPr>
              <w:t>Лот №</w:t>
            </w:r>
            <w:r w:rsidRPr="00A53D17">
              <w:rPr>
                <w:b/>
                <w:sz w:val="24"/>
                <w:szCs w:val="24"/>
              </w:rPr>
              <w:t>1</w:t>
            </w:r>
            <w:r>
              <w:rPr>
                <w:b/>
                <w:sz w:val="24"/>
                <w:szCs w:val="24"/>
              </w:rPr>
              <w:t>092</w:t>
            </w:r>
            <w:r w:rsidR="009B6D6B">
              <w:rPr>
                <w:b/>
                <w:sz w:val="24"/>
                <w:szCs w:val="24"/>
              </w:rPr>
              <w:t>9</w:t>
            </w:r>
            <w:r w:rsidRPr="00A53D17">
              <w:rPr>
                <w:sz w:val="24"/>
                <w:szCs w:val="24"/>
              </w:rPr>
              <w:t xml:space="preserve">: </w:t>
            </w:r>
            <w:r w:rsidRPr="00A53D17">
              <w:rPr>
                <w:b/>
                <w:i/>
                <w:sz w:val="24"/>
                <w:szCs w:val="24"/>
              </w:rPr>
              <w:t>«</w:t>
            </w:r>
            <w:r w:rsidR="009B6D6B" w:rsidRPr="009B6D6B">
              <w:rPr>
                <w:b/>
                <w:i/>
                <w:sz w:val="24"/>
                <w:szCs w:val="24"/>
              </w:rPr>
              <w:t>Мероприятия по строительству и реконструкции для технологического присоединения потребителей Благовещенского района (с. Чигири) (заявитель ЗАО «АНК»)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B84025"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2B8A4BC"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9B6D6B" w:rsidRPr="009B6D6B">
              <w:rPr>
                <w:b/>
                <w:u w:val="single"/>
              </w:rPr>
              <w:t>9 505 787.89</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1B89F541" w:rsidR="00070DF3" w:rsidRDefault="00C66D20" w:rsidP="00070DF3">
            <w:pPr>
              <w:pStyle w:val="Tabletext"/>
              <w:spacing w:before="0"/>
              <w:rPr>
                <w:b/>
                <w:snapToGrid w:val="0"/>
                <w:sz w:val="24"/>
              </w:rPr>
            </w:pPr>
            <w:r>
              <w:rPr>
                <w:b/>
                <w:sz w:val="24"/>
              </w:rPr>
              <w:t>18</w:t>
            </w:r>
            <w:r w:rsidR="00070DF3" w:rsidRPr="00070DF3">
              <w:rPr>
                <w:b/>
                <w:sz w:val="24"/>
              </w:rPr>
              <w:t>.06.2019 г. в </w:t>
            </w:r>
            <w:r w:rsidR="009B6D6B">
              <w:rPr>
                <w:b/>
                <w:snapToGrid w:val="0"/>
                <w:sz w:val="24"/>
              </w:rPr>
              <w:t>15</w:t>
            </w:r>
            <w:r w:rsidR="00070DF3" w:rsidRPr="00070DF3">
              <w:rPr>
                <w:b/>
                <w:snapToGrid w:val="0"/>
                <w:sz w:val="24"/>
              </w:rPr>
              <w:t xml:space="preserve">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3D366994" w:rsidR="00070DF3" w:rsidRPr="003A4D98" w:rsidRDefault="00C66D20" w:rsidP="00070DF3">
            <w:pPr>
              <w:pStyle w:val="Tabletext"/>
              <w:spacing w:after="120"/>
              <w:rPr>
                <w:rStyle w:val="afa"/>
                <w:b w:val="0"/>
                <w:i w:val="0"/>
                <w:snapToGrid w:val="0"/>
                <w:sz w:val="26"/>
                <w:szCs w:val="26"/>
                <w:shd w:val="clear" w:color="auto" w:fill="auto"/>
              </w:rPr>
            </w:pPr>
            <w:r>
              <w:rPr>
                <w:b/>
                <w:sz w:val="24"/>
                <w:u w:val="single"/>
              </w:rPr>
              <w:t>18</w:t>
            </w:r>
            <w:r w:rsidR="00070DF3" w:rsidRPr="00070DF3">
              <w:rPr>
                <w:b/>
                <w:sz w:val="24"/>
                <w:u w:val="single"/>
              </w:rPr>
              <w:t>.06.2019 г. в </w:t>
            </w:r>
            <w:r w:rsidR="009B6D6B">
              <w:rPr>
                <w:b/>
                <w:snapToGrid w:val="0"/>
                <w:sz w:val="24"/>
                <w:u w:val="single"/>
              </w:rPr>
              <w:t>15</w:t>
            </w:r>
            <w:bookmarkStart w:id="57" w:name="_GoBack"/>
            <w:bookmarkEnd w:id="57"/>
            <w:r w:rsidR="00070DF3" w:rsidRPr="00070DF3">
              <w:rPr>
                <w:b/>
                <w:snapToGrid w:val="0"/>
                <w:sz w:val="24"/>
                <w:u w:val="single"/>
              </w:rPr>
              <w:t xml:space="preserve">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7ED3075" w:rsidR="00D11474" w:rsidRPr="00BA04C6" w:rsidRDefault="00C66D20" w:rsidP="00C65174">
            <w:pPr>
              <w:pStyle w:val="Tabletext"/>
              <w:spacing w:after="120"/>
              <w:rPr>
                <w:sz w:val="26"/>
                <w:szCs w:val="26"/>
              </w:rPr>
            </w:pPr>
            <w:r>
              <w:rPr>
                <w:snapToGrid w:val="0"/>
                <w:sz w:val="26"/>
                <w:szCs w:val="26"/>
              </w:rPr>
              <w:t>08</w:t>
            </w:r>
            <w:r w:rsidR="00070DF3">
              <w:rPr>
                <w:snapToGrid w:val="0"/>
                <w:sz w:val="26"/>
                <w:szCs w:val="26"/>
              </w:rPr>
              <w:t>.07.2019</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8EBDD12" w:rsidR="00D11474" w:rsidRPr="007B0C48" w:rsidRDefault="00C66D20" w:rsidP="00070DF3">
            <w:pPr>
              <w:pStyle w:val="Tabletext"/>
              <w:spacing w:after="120"/>
              <w:rPr>
                <w:i/>
                <w:snapToGrid w:val="0"/>
                <w:sz w:val="26"/>
                <w:szCs w:val="26"/>
                <w:shd w:val="clear" w:color="auto" w:fill="FFFF99"/>
              </w:rPr>
            </w:pPr>
            <w:r>
              <w:rPr>
                <w:snapToGrid w:val="0"/>
                <w:sz w:val="26"/>
                <w:szCs w:val="26"/>
              </w:rPr>
              <w:t>15</w:t>
            </w:r>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B84025"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B84025"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0140A" w14:textId="77777777" w:rsidR="00B84025" w:rsidRDefault="00B84025">
      <w:r>
        <w:separator/>
      </w:r>
    </w:p>
  </w:endnote>
  <w:endnote w:type="continuationSeparator" w:id="0">
    <w:p w14:paraId="08DC7E2F" w14:textId="77777777" w:rsidR="00B84025" w:rsidRDefault="00B84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3104B6"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6D6B">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6D6B">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203BBC7C"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6D6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6D6B">
      <w:rPr>
        <w:i/>
        <w:noProof/>
        <w:sz w:val="24"/>
        <w:szCs w:val="24"/>
      </w:rPr>
      <w:t>133</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B46CC" w14:textId="77777777" w:rsidR="00B84025" w:rsidRDefault="00B84025">
      <w:r>
        <w:separator/>
      </w:r>
    </w:p>
  </w:footnote>
  <w:footnote w:type="continuationSeparator" w:id="0">
    <w:p w14:paraId="3AAD9FE6" w14:textId="77777777" w:rsidR="00B84025" w:rsidRDefault="00B84025">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98B"/>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D6B"/>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484"/>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C98"/>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025"/>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D20"/>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699BD-32CD-4D62-A445-13D0635CC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35639</Words>
  <Characters>203144</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238307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339</cp:revision>
  <cp:lastPrinted>2018-05-25T11:25:00Z</cp:lastPrinted>
  <dcterms:created xsi:type="dcterms:W3CDTF">2018-06-01T22:59:00Z</dcterms:created>
  <dcterms:modified xsi:type="dcterms:W3CDTF">2019-06-05T01:15:00Z</dcterms:modified>
</cp:coreProperties>
</file>