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3353E3">
        <w:t xml:space="preserve">Владивосток  </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Default="00AC7788" w:rsidP="006B083F">
      <w:pPr>
        <w:autoSpaceDE w:val="0"/>
        <w:autoSpaceDN w:val="0"/>
        <w:adjustRightInd w:val="0"/>
        <w:jc w:val="both"/>
      </w:pPr>
    </w:p>
    <w:p w:rsidR="000E1D78" w:rsidRPr="00C67D7C" w:rsidRDefault="000E1D7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42130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C67D7C">
        <w:t xml:space="preserve">По настоящему Договору Подрядчик обязуется по заданию Заказчика </w:t>
      </w:r>
      <w:r w:rsidR="0065554D" w:rsidRPr="00C67D7C">
        <w:t>разработать рабочую документации</w:t>
      </w:r>
      <w:r w:rsidR="005B3E15" w:rsidRPr="00C67D7C">
        <w:t xml:space="preserve"> (в том числе сметную документацию)</w:t>
      </w:r>
      <w:r w:rsidR="00412997">
        <w:t xml:space="preserve"> с пояснительной запиской</w:t>
      </w:r>
      <w:r w:rsidR="0065554D" w:rsidRPr="00C67D7C">
        <w:t xml:space="preserve"> и </w:t>
      </w:r>
      <w:r w:rsidR="0065554D" w:rsidRPr="0042130D">
        <w:t xml:space="preserve">выполнить </w:t>
      </w:r>
      <w:r w:rsidR="00412997" w:rsidRPr="0042130D">
        <w:t xml:space="preserve">кадастровые и строительно-монтажные </w:t>
      </w:r>
      <w:r w:rsidR="0065554D" w:rsidRPr="0042130D">
        <w:t>рабо</w:t>
      </w:r>
      <w:r w:rsidRPr="0042130D">
        <w:t xml:space="preserve">ты </w:t>
      </w:r>
      <w:r w:rsidR="009E75D2">
        <w:t>на</w:t>
      </w:r>
      <w:r w:rsidRPr="0042130D">
        <w:rPr>
          <w:i/>
          <w:iCs/>
        </w:rPr>
        <w:t>:</w:t>
      </w:r>
      <w:r w:rsidR="00412997" w:rsidRPr="0042130D">
        <w:rPr>
          <w:i/>
          <w:iCs/>
        </w:rPr>
        <w:t xml:space="preserve"> </w:t>
      </w:r>
      <w:r w:rsidR="00412997" w:rsidRPr="0042130D">
        <w:rPr>
          <w:b/>
          <w:i/>
          <w:iCs/>
        </w:rPr>
        <w:t xml:space="preserve">Строительство </w:t>
      </w:r>
      <w:r w:rsidR="0042130D" w:rsidRPr="0042130D">
        <w:rPr>
          <w:b/>
          <w:i/>
          <w:iCs/>
        </w:rPr>
        <w:t>КЛ 35 кВ от ПС Голубинка до ПС Ц.</w:t>
      </w:r>
      <w:r w:rsidR="003353E3" w:rsidRPr="0042130D">
        <w:rPr>
          <w:b/>
          <w:i/>
          <w:iCs/>
        </w:rPr>
        <w:t xml:space="preserve"> </w:t>
      </w:r>
      <w:r w:rsidR="003353E3" w:rsidRPr="0042130D">
        <w:rPr>
          <w:iCs/>
        </w:rPr>
        <w:t>по объектам</w:t>
      </w:r>
      <w:r w:rsidR="00B0148F" w:rsidRPr="0042130D">
        <w:rPr>
          <w:iCs/>
        </w:rPr>
        <w:t>:</w:t>
      </w:r>
      <w:r w:rsidR="00412997" w:rsidRPr="0042130D">
        <w:rPr>
          <w:b/>
          <w:i/>
          <w:iCs/>
        </w:rPr>
        <w:t xml:space="preserve"> </w:t>
      </w:r>
    </w:p>
    <w:p w:rsidR="001B076F" w:rsidRPr="00023EA8" w:rsidRDefault="00412997" w:rsidP="001B076F">
      <w:pPr>
        <w:tabs>
          <w:tab w:val="left" w:pos="993"/>
        </w:tabs>
        <w:suppressAutoHyphens/>
        <w:ind w:right="-16" w:firstLine="567"/>
        <w:jc w:val="both"/>
      </w:pPr>
      <w:r w:rsidRPr="00023EA8">
        <w:t xml:space="preserve">- </w:t>
      </w:r>
      <w:r w:rsidR="0042130D" w:rsidRPr="00023EA8">
        <w:rPr>
          <w:color w:val="000000"/>
        </w:rPr>
        <w:t>Строительство ЛЭП 35 кВ от ПС 110/35/6 кВ Голубинка до РУ 35 кВ ПС 35 кВ Ц</w:t>
      </w:r>
      <w:r w:rsidR="001B076F" w:rsidRPr="00023EA8">
        <w:t>;</w:t>
      </w:r>
    </w:p>
    <w:p w:rsidR="001B076F" w:rsidRDefault="001B076F" w:rsidP="001B076F">
      <w:pPr>
        <w:shd w:val="clear" w:color="auto" w:fill="FFFFFF"/>
        <w:tabs>
          <w:tab w:val="num" w:pos="900"/>
          <w:tab w:val="left" w:pos="993"/>
          <w:tab w:val="left" w:pos="1276"/>
          <w:tab w:val="left" w:pos="1418"/>
        </w:tabs>
        <w:ind w:firstLine="567"/>
        <w:jc w:val="both"/>
      </w:pPr>
      <w:r w:rsidRPr="00023EA8">
        <w:t xml:space="preserve">- </w:t>
      </w:r>
      <w:r w:rsidR="0042130D" w:rsidRPr="00023EA8">
        <w:rPr>
          <w:color w:val="000000"/>
        </w:rPr>
        <w:t>Реконструкция ПС 35/6 кВ Ц с организацией линейной ячейки 35 кВ</w:t>
      </w:r>
      <w:r w:rsidR="00412997" w:rsidRPr="00023EA8">
        <w:t>,</w:t>
      </w:r>
      <w:r w:rsidR="00412997" w:rsidRPr="0042130D">
        <w:t xml:space="preserve"> </w:t>
      </w:r>
    </w:p>
    <w:p w:rsidR="00A726B4" w:rsidRPr="0042130D" w:rsidRDefault="00A726B4" w:rsidP="001B076F">
      <w:pPr>
        <w:shd w:val="clear" w:color="auto" w:fill="FFFFFF"/>
        <w:tabs>
          <w:tab w:val="num" w:pos="900"/>
          <w:tab w:val="left" w:pos="993"/>
          <w:tab w:val="left" w:pos="1276"/>
          <w:tab w:val="left" w:pos="1418"/>
        </w:tabs>
        <w:ind w:firstLine="567"/>
        <w:jc w:val="both"/>
      </w:pPr>
    </w:p>
    <w:p w:rsidR="00880075" w:rsidRPr="001B076F" w:rsidRDefault="00B0148F" w:rsidP="001B076F">
      <w:pPr>
        <w:shd w:val="clear" w:color="auto" w:fill="FFFFFF"/>
        <w:tabs>
          <w:tab w:val="num" w:pos="900"/>
          <w:tab w:val="left" w:pos="993"/>
          <w:tab w:val="left" w:pos="1276"/>
          <w:tab w:val="left" w:pos="1418"/>
        </w:tabs>
        <w:jc w:val="both"/>
      </w:pPr>
      <w:r w:rsidRPr="0042130D">
        <w:rPr>
          <w:iCs/>
        </w:rPr>
        <w:t xml:space="preserve">для технологического </w:t>
      </w:r>
      <w:r w:rsidR="000E1D78" w:rsidRPr="0042130D">
        <w:rPr>
          <w:iCs/>
        </w:rPr>
        <w:t>п</w:t>
      </w:r>
      <w:r w:rsidRPr="0042130D">
        <w:rPr>
          <w:iCs/>
        </w:rPr>
        <w:t>рисоединения потребителей на территории филиала ПЭС</w:t>
      </w:r>
      <w:r w:rsidR="00880075" w:rsidRPr="0042130D">
        <w:t xml:space="preserve"> </w:t>
      </w:r>
      <w:r w:rsidR="003608CF" w:rsidRPr="0042130D">
        <w:t xml:space="preserve">(далее по тексту договора – Объект) </w:t>
      </w:r>
      <w:r w:rsidR="00880075" w:rsidRPr="0042130D">
        <w:t>и сдать результат Заказчику, а Заказчик обязуется принять</w:t>
      </w:r>
      <w:r w:rsidR="00880075" w:rsidRPr="001B076F">
        <w:t xml:space="preserve"> результат работ и оплатить его в порядке, предусмотренном Договором.</w:t>
      </w:r>
    </w:p>
    <w:p w:rsidR="00C2112F" w:rsidRDefault="00C2112F" w:rsidP="00C2112F">
      <w:pPr>
        <w:pStyle w:val="af2"/>
        <w:numPr>
          <w:ilvl w:val="1"/>
          <w:numId w:val="1"/>
        </w:numPr>
        <w:tabs>
          <w:tab w:val="clear" w:pos="1004"/>
          <w:tab w:val="num" w:pos="284"/>
        </w:tabs>
        <w:ind w:left="0" w:firstLine="698"/>
        <w:jc w:val="both"/>
        <w:rPr>
          <w:bCs/>
        </w:rPr>
      </w:pPr>
      <w:r w:rsidRPr="00EB5CC7">
        <w:rPr>
          <w:bCs/>
        </w:rPr>
        <w:t>Настоящий Договор заключается для реализации мероприятий по инвестиционн</w:t>
      </w:r>
      <w:r>
        <w:rPr>
          <w:bCs/>
        </w:rPr>
        <w:t>ым</w:t>
      </w:r>
      <w:r w:rsidRPr="00EB5CC7">
        <w:rPr>
          <w:bCs/>
        </w:rPr>
        <w:t xml:space="preserve"> проект</w:t>
      </w:r>
      <w:r>
        <w:rPr>
          <w:bCs/>
        </w:rPr>
        <w:t>ам:</w:t>
      </w:r>
    </w:p>
    <w:p w:rsidR="00C2112F" w:rsidRDefault="00C2112F" w:rsidP="00C2112F">
      <w:pPr>
        <w:jc w:val="both"/>
      </w:pPr>
      <w:r>
        <w:rPr>
          <w:bCs/>
        </w:rPr>
        <w:t xml:space="preserve">           - </w:t>
      </w:r>
      <w:r w:rsidR="008D2056" w:rsidRPr="008D2056">
        <w:t>Строительство КЛЭП 35 кВ  в г. Владивостоке, заявитель АО "ЦС Дальзавод", протяженностью 0,68 км</w:t>
      </w:r>
      <w:r w:rsidR="0008655F">
        <w:t>;</w:t>
      </w:r>
    </w:p>
    <w:p w:rsidR="00C2112F" w:rsidRDefault="00C2112F" w:rsidP="00C2112F">
      <w:pPr>
        <w:jc w:val="both"/>
      </w:pPr>
      <w:r>
        <w:rPr>
          <w:bCs/>
        </w:rPr>
        <w:t xml:space="preserve">           - </w:t>
      </w:r>
      <w:r w:rsidR="00023EA8" w:rsidRPr="00023EA8">
        <w:t>Реконструкция ПС "Ц" с организацией линейной ячейки 35 кВ - 1 шт.</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B0148F">
        <w:t>к электрическим сетям АО «ДРСК»</w:t>
      </w:r>
      <w:r w:rsidR="001B076F">
        <w:t xml:space="preserve"> </w:t>
      </w:r>
      <w:r w:rsidR="00C3732A">
        <w:t xml:space="preserve">на </w:t>
      </w:r>
      <w:r w:rsidR="00B15E77">
        <w:t>увеличение объема максимальной мощности энергопринимающих устройств АО «Ц</w:t>
      </w:r>
      <w:r w:rsidR="00076B50">
        <w:t>С</w:t>
      </w:r>
      <w:r w:rsidR="00B15E77">
        <w:t xml:space="preserve">Д» </w:t>
      </w:r>
      <w:r w:rsidR="000E1D78">
        <w:t>по договору №</w:t>
      </w:r>
      <w:r w:rsidR="00B15E77" w:rsidRPr="00B15E77">
        <w:t>17-3934</w:t>
      </w:r>
      <w:r w:rsidR="000E1D78">
        <w:t xml:space="preserve"> </w:t>
      </w:r>
      <w:r w:rsidR="00B0148F">
        <w:t xml:space="preserve">от </w:t>
      </w:r>
      <w:r w:rsidR="00B15E77" w:rsidRPr="00B15E77">
        <w:t>01</w:t>
      </w:r>
      <w:r w:rsidR="00B0148F">
        <w:t>.</w:t>
      </w:r>
      <w:r w:rsidR="00B15E77" w:rsidRPr="00B15E77">
        <w:t>11</w:t>
      </w:r>
      <w:r w:rsidR="00B0148F">
        <w:t>.201</w:t>
      </w:r>
      <w:r w:rsidR="00B15E77" w:rsidRPr="00B15E77">
        <w:t>7</w:t>
      </w:r>
      <w:r w:rsidR="00B0148F">
        <w:t xml:space="preserve"> с Заявителем </w:t>
      </w:r>
      <w:r w:rsidR="000E1D78">
        <w:t>АО «</w:t>
      </w:r>
      <w:r w:rsidR="00B15E77">
        <w:t>Центр судоремонта «Дальзавод»</w:t>
      </w:r>
      <w:r w:rsidRPr="00C67D7C">
        <w:t>,</w:t>
      </w:r>
      <w:r w:rsidR="00B0148F">
        <w:t xml:space="preserve"> Приморский край, </w:t>
      </w:r>
      <w:r w:rsidR="00076B50">
        <w:t>г.Владивосток, ул.Светланская,72, ул.Дальзаводская,2</w:t>
      </w:r>
      <w:r w:rsidR="000E1D78">
        <w:t xml:space="preserve">. </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w:t>
      </w:r>
      <w:r w:rsidR="00BF5D42">
        <w:t xml:space="preserve">бот по Договору </w:t>
      </w:r>
      <w:r w:rsidR="00BF5D42" w:rsidRPr="00BF5D42">
        <w:rPr>
          <w:b/>
          <w:i/>
        </w:rPr>
        <w:t>с момента заключения договора</w:t>
      </w:r>
      <w:r w:rsidRPr="00C67D7C">
        <w:t xml:space="preserve"> г. Работы по Договору должны быть завершены и объект должен быть подготовлен к сдаче в эксплуатацию не позднее </w:t>
      </w:r>
      <w:r w:rsidR="003B66CF">
        <w:t>19.11</w:t>
      </w:r>
      <w:r w:rsidR="00BF5D42">
        <w:t>.2019</w:t>
      </w:r>
      <w:r w:rsidR="001D20FE" w:rsidRPr="00C67D7C">
        <w:t xml:space="preserve"> </w:t>
      </w:r>
      <w:r w:rsidRPr="00C67D7C">
        <w:t>г.</w:t>
      </w:r>
    </w:p>
    <w:p w:rsidR="007A7C26" w:rsidRDefault="007A7C26" w:rsidP="007A7C26">
      <w:pPr>
        <w:shd w:val="clear" w:color="auto" w:fill="FFFFFF"/>
        <w:tabs>
          <w:tab w:val="left" w:pos="900"/>
          <w:tab w:val="left" w:pos="993"/>
          <w:tab w:val="left" w:pos="1276"/>
          <w:tab w:val="num" w:pos="1977"/>
        </w:tabs>
        <w:ind w:left="709"/>
        <w:jc w:val="both"/>
      </w:pPr>
    </w:p>
    <w:p w:rsidR="004158DE" w:rsidRPr="00C67D7C" w:rsidRDefault="004158DE" w:rsidP="007A7C26">
      <w:pPr>
        <w:shd w:val="clear" w:color="auto" w:fill="FFFFFF"/>
        <w:tabs>
          <w:tab w:val="left" w:pos="900"/>
          <w:tab w:val="left" w:pos="993"/>
          <w:tab w:val="left" w:pos="1276"/>
          <w:tab w:val="num" w:pos="1977"/>
        </w:tabs>
        <w:ind w:left="709"/>
        <w:jc w:val="both"/>
      </w:pPr>
    </w:p>
    <w:p w:rsidR="00880075"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4158DE" w:rsidRPr="00C67D7C" w:rsidRDefault="004158DE" w:rsidP="004158DE">
      <w:pPr>
        <w:shd w:val="clear" w:color="auto" w:fill="FFFFFF"/>
        <w:ind w:left="426"/>
        <w:rPr>
          <w:b/>
          <w:bCs/>
        </w:rPr>
      </w:pP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F0CA6">
        <w:t>5</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353E3" w:rsidRPr="00EB2F02" w:rsidRDefault="004158DE" w:rsidP="003353E3">
      <w:pPr>
        <w:widowControl w:val="0"/>
        <w:numPr>
          <w:ilvl w:val="1"/>
          <w:numId w:val="2"/>
        </w:numPr>
        <w:shd w:val="clear" w:color="auto" w:fill="FFFFFF"/>
        <w:tabs>
          <w:tab w:val="num" w:pos="0"/>
          <w:tab w:val="left" w:pos="900"/>
          <w:tab w:val="left" w:pos="993"/>
          <w:tab w:val="left" w:pos="1276"/>
        </w:tabs>
        <w:ind w:left="0" w:firstLine="709"/>
        <w:jc w:val="both"/>
        <w:rPr>
          <w:i/>
          <w:iCs/>
        </w:rPr>
      </w:pPr>
      <w:r w:rsidRPr="00C67D7C">
        <w:t>Перед началом работ обеспечить получение в уполномоченных органах государственной власти разрешения на строительство</w:t>
      </w:r>
      <w:r w:rsidRPr="00C67D7C">
        <w:rPr>
          <w:color w:val="0000FF"/>
        </w:rPr>
        <w:t>.</w:t>
      </w:r>
    </w:p>
    <w:p w:rsidR="003353E3" w:rsidRPr="00EB2F02" w:rsidRDefault="004158DE" w:rsidP="003353E3">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C67D7C">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3353E3" w:rsidRPr="00EB2F02">
        <w:t>.</w:t>
      </w:r>
      <w:r w:rsidR="003353E3" w:rsidRPr="00EB2F02">
        <w:rPr>
          <w:i/>
          <w:iCs/>
          <w:color w:val="0000FF"/>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Pr="00EA274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3B66CF">
        <w:rPr>
          <w:b/>
          <w:i/>
        </w:rPr>
        <w:t>19</w:t>
      </w:r>
      <w:r w:rsidR="00010224" w:rsidRPr="00855ED6">
        <w:rPr>
          <w:b/>
          <w:i/>
        </w:rPr>
        <w:t>.</w:t>
      </w:r>
      <w:r w:rsidR="003B66CF">
        <w:rPr>
          <w:b/>
          <w:i/>
        </w:rPr>
        <w:t>11</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В случае нарушения Подрядчиком п. 3.3. и 3.9. настоящего договора Заказчик имеет право: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xml:space="preserve">% от стоимости работ) в размере_____________(________) рубля _________ копеек с учетом НДС </w:t>
      </w:r>
      <w:r w:rsidR="007C796C">
        <w:rPr>
          <w:color w:val="000000" w:themeColor="text1"/>
        </w:rPr>
        <w:t>20</w:t>
      </w:r>
      <w:r w:rsidRPr="00C67D7C">
        <w:rPr>
          <w:color w:val="000000" w:themeColor="text1"/>
        </w:rPr>
        <w:t>%.</w:t>
      </w:r>
    </w:p>
    <w:p w:rsidR="004C59C9" w:rsidRDefault="00E71B97" w:rsidP="00E71B97">
      <w:pPr>
        <w:pStyle w:val="af2"/>
        <w:tabs>
          <w:tab w:val="left" w:pos="0"/>
          <w:tab w:val="left" w:pos="851"/>
          <w:tab w:val="left" w:pos="993"/>
          <w:tab w:val="left" w:pos="1276"/>
        </w:tabs>
        <w:ind w:left="0" w:firstLine="709"/>
        <w:jc w:val="both"/>
      </w:pPr>
      <w:r>
        <w:t>6.3</w:t>
      </w:r>
      <w:r w:rsidRPr="00C67D7C">
        <w:t>. Предварительная оплата (аванс), вносится в течение 30 (тридцати) календарных дней с даты получения Заказчиком сч</w:t>
      </w:r>
      <w:r>
        <w:t>ета, выставленного Подрядчиком.</w:t>
      </w:r>
    </w:p>
    <w:p w:rsidR="00E71B97" w:rsidRDefault="00E71B97" w:rsidP="00E71B97">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D70E6F" w:rsidRDefault="00E71B97" w:rsidP="00E71B97">
      <w:pPr>
        <w:widowControl w:val="0"/>
        <w:shd w:val="clear" w:color="auto" w:fill="FFFFFF"/>
        <w:tabs>
          <w:tab w:val="left" w:pos="-142"/>
          <w:tab w:val="left" w:pos="426"/>
          <w:tab w:val="left" w:pos="709"/>
          <w:tab w:val="left" w:pos="851"/>
          <w:tab w:val="left" w:pos="1276"/>
        </w:tabs>
        <w:ind w:firstLine="709"/>
        <w:jc w:val="both"/>
      </w:pPr>
      <w:r w:rsidRPr="00D70E6F">
        <w:t>6.11. Обязательства по оплате работ считаются выполненными с даты списания денежных средств с расчетного счета Заказчика.</w:t>
      </w:r>
    </w:p>
    <w:p w:rsidR="00E71B97" w:rsidRPr="00D70E6F" w:rsidRDefault="00E71B97" w:rsidP="00E71B97">
      <w:pPr>
        <w:widowControl w:val="0"/>
        <w:shd w:val="clear" w:color="auto" w:fill="FFFFFF"/>
        <w:tabs>
          <w:tab w:val="left" w:pos="426"/>
          <w:tab w:val="left" w:pos="1276"/>
        </w:tabs>
        <w:ind w:firstLine="709"/>
        <w:jc w:val="both"/>
        <w:rPr>
          <w:b/>
          <w:bCs/>
          <w:color w:val="000000"/>
        </w:rPr>
      </w:pPr>
      <w:r w:rsidRPr="00D70E6F">
        <w:t xml:space="preserve">6.12.  Подрядчик </w:t>
      </w:r>
      <w:r w:rsidRPr="00D70E6F">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E71B97" w:rsidRPr="00D70E6F" w:rsidRDefault="00E71B97" w:rsidP="00D70E6F">
      <w:pPr>
        <w:widowControl w:val="0"/>
        <w:shd w:val="clear" w:color="auto" w:fill="FFFFFF"/>
        <w:ind w:firstLine="709"/>
        <w:jc w:val="both"/>
      </w:pPr>
      <w:r w:rsidRPr="00D70E6F">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D70E6F" w:rsidRPr="00D70E6F" w:rsidRDefault="00E71B97" w:rsidP="00D70E6F">
      <w:pPr>
        <w:widowControl w:val="0"/>
        <w:shd w:val="clear" w:color="auto" w:fill="FFFFFF"/>
        <w:tabs>
          <w:tab w:val="left" w:pos="1276"/>
        </w:tabs>
        <w:ind w:firstLine="709"/>
        <w:jc w:val="both"/>
        <w:rPr>
          <w:bCs/>
        </w:rPr>
      </w:pPr>
      <w:r w:rsidRPr="00D70E6F">
        <w:rPr>
          <w:bCs/>
        </w:rPr>
        <w:t xml:space="preserve">6.13 </w:t>
      </w:r>
      <w:r w:rsidR="00D70E6F" w:rsidRPr="00D70E6F">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24E63" w:rsidRDefault="00D70E6F" w:rsidP="00D70E6F">
      <w:pPr>
        <w:widowControl w:val="0"/>
        <w:shd w:val="clear" w:color="auto" w:fill="FFFFFF"/>
        <w:tabs>
          <w:tab w:val="left" w:pos="1276"/>
        </w:tabs>
        <w:ind w:firstLine="709"/>
        <w:jc w:val="both"/>
        <w:rPr>
          <w:bCs/>
        </w:rPr>
      </w:pPr>
      <w:r w:rsidRPr="00D70E6F">
        <w:rPr>
          <w:bCs/>
        </w:rPr>
        <w:t xml:space="preserve">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
    <w:p w:rsidR="00E71B97" w:rsidRPr="00F968F6" w:rsidRDefault="00E71B97" w:rsidP="00D70E6F">
      <w:pPr>
        <w:widowControl w:val="0"/>
        <w:shd w:val="clear" w:color="auto" w:fill="FFFFFF"/>
        <w:tabs>
          <w:tab w:val="left" w:pos="1276"/>
        </w:tabs>
        <w:ind w:firstLine="709"/>
        <w:jc w:val="both"/>
        <w:rPr>
          <w:bCs/>
        </w:rPr>
      </w:pPr>
      <w:r w:rsidRPr="00D70E6F">
        <w:rPr>
          <w:bCs/>
        </w:rPr>
        <w:t>6.15. В случае прекращения (расторжения) Договора (подписания Сторонами соглашения о расторжении</w:t>
      </w:r>
      <w:r w:rsidRPr="00F968F6">
        <w:rPr>
          <w:bCs/>
        </w:rPr>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7A47AF" w:rsidRDefault="00E71B97" w:rsidP="00E71B97">
      <w:pPr>
        <w:widowControl w:val="0"/>
        <w:shd w:val="clear" w:color="auto" w:fill="FFFFFF"/>
        <w:tabs>
          <w:tab w:val="left" w:pos="1276"/>
        </w:tabs>
        <w:ind w:firstLine="709"/>
        <w:jc w:val="both"/>
        <w:rPr>
          <w:bCs/>
        </w:rPr>
      </w:pPr>
      <w:r w:rsidRPr="00F968F6">
        <w:rPr>
          <w:bCs/>
        </w:rPr>
        <w:t>6.16. 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E71B97" w:rsidRPr="007A47AF" w:rsidRDefault="00E71B97" w:rsidP="00E71B97">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7A47AF" w:rsidRDefault="00E71B97" w:rsidP="00E71B97">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7A47AF" w:rsidRDefault="00E71B97" w:rsidP="00E71B97">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8</w:t>
      </w:r>
      <w:r w:rsidRPr="007A47AF">
        <w:rPr>
          <w:bCs/>
        </w:rPr>
        <w:t>.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E71B97" w:rsidRDefault="00E71B97" w:rsidP="00E71B97">
      <w:pPr>
        <w:widowControl w:val="0"/>
        <w:tabs>
          <w:tab w:val="left" w:pos="1276"/>
        </w:tabs>
        <w:ind w:firstLine="709"/>
        <w:jc w:val="both"/>
        <w:rPr>
          <w:bCs/>
        </w:rPr>
      </w:pPr>
      <w:r w:rsidRPr="007A47AF">
        <w:rPr>
          <w:bCs/>
        </w:rPr>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C24E63" w:rsidRPr="00C24E63" w:rsidRDefault="00C24E63" w:rsidP="00C24E63">
      <w:pPr>
        <w:widowControl w:val="0"/>
        <w:tabs>
          <w:tab w:val="left" w:pos="1276"/>
        </w:tabs>
        <w:ind w:firstLine="709"/>
        <w:jc w:val="both"/>
        <w:rPr>
          <w:bCs/>
        </w:rPr>
      </w:pPr>
      <w:r>
        <w:rPr>
          <w:bCs/>
        </w:rPr>
        <w:t>6.20</w:t>
      </w:r>
      <w:r w:rsidRPr="00C24E63">
        <w:rPr>
          <w:bCs/>
        </w:rPr>
        <w:t>.</w:t>
      </w:r>
      <w:r w:rsidRPr="00C24E63">
        <w:rPr>
          <w:bCs/>
        </w:rPr>
        <w:tab/>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w:t>
      </w:r>
      <w:r w:rsidR="009E605F">
        <w:rPr>
          <w:bCs/>
        </w:rPr>
        <w:t xml:space="preserve">Разделом </w:t>
      </w:r>
      <w:r w:rsidRPr="00C24E63">
        <w:rPr>
          <w:bCs/>
        </w:rPr>
        <w:t xml:space="preserve"> </w:t>
      </w:r>
      <w:r>
        <w:rPr>
          <w:bCs/>
        </w:rPr>
        <w:t>7</w:t>
      </w:r>
      <w:r w:rsidRPr="00C24E63">
        <w:rPr>
          <w:bCs/>
        </w:rPr>
        <w:t xml:space="preserve"> Договора и предварительно согласованную с Заказчиком.</w:t>
      </w:r>
    </w:p>
    <w:p w:rsidR="00C24E63" w:rsidRPr="00C24E63" w:rsidRDefault="00C24E63" w:rsidP="00C24E63">
      <w:pPr>
        <w:widowControl w:val="0"/>
        <w:tabs>
          <w:tab w:val="left" w:pos="1276"/>
        </w:tabs>
        <w:ind w:firstLine="709"/>
        <w:jc w:val="both"/>
        <w:rPr>
          <w:bCs/>
        </w:rPr>
      </w:pPr>
      <w:r w:rsidRPr="00C24E63">
        <w:rPr>
          <w:bCs/>
        </w:rPr>
        <w:t>6.</w:t>
      </w:r>
      <w:r>
        <w:rPr>
          <w:bCs/>
        </w:rPr>
        <w:t>2</w:t>
      </w:r>
      <w:r w:rsidRPr="00C24E63">
        <w:rPr>
          <w:bCs/>
        </w:rPr>
        <w:t>1.</w:t>
      </w:r>
      <w:r w:rsidRPr="00C24E63">
        <w:rPr>
          <w:bCs/>
        </w:rPr>
        <w:tab/>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w:t>
      </w:r>
      <w:r w:rsidR="009E605F">
        <w:rPr>
          <w:bCs/>
        </w:rPr>
        <w:t>6.20</w:t>
      </w:r>
      <w:r w:rsidRPr="00C24E63">
        <w:rPr>
          <w:bCs/>
        </w:rPr>
        <w:t xml:space="preserve"> Договора, в установленный срок и при этом не приступил к исполнению обязательств по Договору. </w:t>
      </w:r>
    </w:p>
    <w:p w:rsidR="00C24E63" w:rsidRPr="00C24E63" w:rsidRDefault="00C24E63" w:rsidP="009E605F">
      <w:pPr>
        <w:widowControl w:val="0"/>
        <w:tabs>
          <w:tab w:val="left" w:pos="1276"/>
        </w:tabs>
        <w:ind w:firstLine="709"/>
        <w:rPr>
          <w:bCs/>
        </w:rPr>
      </w:pPr>
      <w:r w:rsidRPr="00C24E63">
        <w:rPr>
          <w:bCs/>
        </w:rPr>
        <w:t>6.</w:t>
      </w:r>
      <w:r>
        <w:rPr>
          <w:bCs/>
        </w:rPr>
        <w:t>2</w:t>
      </w:r>
      <w:r w:rsidRPr="00C24E63">
        <w:rPr>
          <w:bCs/>
        </w:rPr>
        <w:t>2.</w:t>
      </w:r>
      <w:r w:rsidRPr="00C24E63">
        <w:rPr>
          <w:bCs/>
        </w:rPr>
        <w:tab/>
        <w:t xml:space="preserve">Положения пунктов </w:t>
      </w:r>
      <w:r w:rsidR="009E605F">
        <w:rPr>
          <w:bCs/>
        </w:rPr>
        <w:t>6.20-6.21.</w:t>
      </w:r>
      <w:r w:rsidRPr="00C24E63">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w:t>
      </w:r>
      <w:r w:rsidR="009E605F">
        <w:rPr>
          <w:bCs/>
        </w:rPr>
        <w:t>6.20.-6.21.</w:t>
      </w:r>
      <w:r w:rsidRPr="00C24E63">
        <w:rPr>
          <w:bCs/>
        </w:rPr>
        <w:t xml:space="preserve">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7A7C26" w:rsidRDefault="007A7C26" w:rsidP="007A7C26">
      <w:pPr>
        <w:widowControl w:val="0"/>
        <w:tabs>
          <w:tab w:val="left" w:pos="1276"/>
        </w:tabs>
        <w:jc w:val="both"/>
        <w:rPr>
          <w:bCs/>
        </w:rPr>
      </w:pPr>
    </w:p>
    <w:p w:rsidR="00922F9D" w:rsidRPr="0026044A" w:rsidRDefault="00922F9D" w:rsidP="0026044A">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5919EB">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076B50" w:rsidRDefault="00922F9D" w:rsidP="00922F9D">
      <w:pPr>
        <w:pStyle w:val="af3"/>
        <w:numPr>
          <w:ilvl w:val="0"/>
          <w:numId w:val="31"/>
        </w:numPr>
        <w:tabs>
          <w:tab w:val="left" w:pos="0"/>
          <w:tab w:val="left" w:pos="1134"/>
        </w:tabs>
        <w:spacing w:after="0"/>
        <w:ind w:left="0" w:firstLine="709"/>
        <w:jc w:val="both"/>
        <w:rPr>
          <w:color w:val="000000" w:themeColor="text1"/>
        </w:rPr>
      </w:pPr>
      <w:r w:rsidRPr="00076B50">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67D7C">
        <w:rPr>
          <w:i/>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6317C" w:rsidRPr="00076B50" w:rsidRDefault="0066317C" w:rsidP="0066317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076B50">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076B50">
        <w:rPr>
          <w:u w:color="FF0000"/>
        </w:rPr>
        <w:t>производственных цехов и участков реконструируемого объекта</w:t>
      </w:r>
      <w:r w:rsidRPr="00076B5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6656CB" w:rsidRDefault="008E41D1" w:rsidP="006656CB">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6656CB" w:rsidRDefault="006656CB" w:rsidP="009E605F">
      <w:pPr>
        <w:widowControl w:val="0"/>
        <w:shd w:val="clear" w:color="auto" w:fill="FFFFFF"/>
        <w:jc w:val="both"/>
        <w:rPr>
          <w:b/>
          <w:bCs/>
        </w:rPr>
      </w:pPr>
      <w:r>
        <w:rPr>
          <w:bCs/>
          <w:highlight w:val="yellow"/>
        </w:rPr>
        <w:t xml:space="preserve">                   13.1. </w:t>
      </w:r>
      <w:r w:rsidRPr="006656CB">
        <w:rPr>
          <w:bCs/>
          <w:highlight w:val="yellow"/>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6656CB">
        <w:rPr>
          <w:kern w:val="36"/>
          <w:highlight w:val="yellow"/>
        </w:rPr>
        <w:t xml:space="preserve">но, несмотря на любые иные условия, </w:t>
      </w:r>
      <w:r w:rsidRPr="006656CB">
        <w:rPr>
          <w:bCs/>
          <w:highlight w:val="yellow"/>
        </w:rPr>
        <w:t>не более 5 (пяти) % от несвоевременно оплаченной суммы</w:t>
      </w:r>
      <w:r w:rsidRPr="006656CB">
        <w:rPr>
          <w:bCs/>
        </w:rPr>
        <w:t xml:space="preserve">. </w:t>
      </w:r>
    </w:p>
    <w:p w:rsidR="006656CB" w:rsidRPr="006656CB" w:rsidRDefault="006656CB" w:rsidP="009E605F">
      <w:pPr>
        <w:widowControl w:val="0"/>
        <w:shd w:val="clear" w:color="auto" w:fill="FFFFFF"/>
        <w:jc w:val="both"/>
        <w:rPr>
          <w:b/>
          <w:bCs/>
        </w:rPr>
      </w:pPr>
      <w:r>
        <w:rPr>
          <w:b/>
          <w:bCs/>
        </w:rPr>
        <w:t xml:space="preserve">                  13.2.   </w:t>
      </w:r>
      <w:r w:rsidRPr="003647EA">
        <w:rPr>
          <w:bCs/>
          <w:highlight w:val="yellow"/>
        </w:rPr>
        <w:t xml:space="preserve">В случае </w:t>
      </w:r>
      <w:r w:rsidRPr="003647EA">
        <w:rPr>
          <w:highlight w:val="yellow"/>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6656CB" w:rsidRPr="003647EA" w:rsidRDefault="006656CB" w:rsidP="009E605F">
      <w:pPr>
        <w:widowControl w:val="0"/>
        <w:tabs>
          <w:tab w:val="left" w:pos="6300"/>
        </w:tabs>
        <w:ind w:firstLine="709"/>
        <w:jc w:val="both"/>
        <w:rPr>
          <w:kern w:val="36"/>
          <w:highlight w:val="yellow"/>
        </w:rPr>
      </w:pPr>
      <w:r>
        <w:rPr>
          <w:kern w:val="36"/>
          <w:highlight w:val="yellow"/>
        </w:rPr>
        <w:t xml:space="preserve">13.3. </w:t>
      </w:r>
      <w:r w:rsidRPr="003647EA">
        <w:rPr>
          <w:kern w:val="36"/>
          <w:highlight w:val="yellow"/>
        </w:rPr>
        <w:t xml:space="preserve"> </w:t>
      </w:r>
      <w:r>
        <w:rPr>
          <w:kern w:val="36"/>
          <w:highlight w:val="yellow"/>
        </w:rPr>
        <w:t>Ш</w:t>
      </w:r>
      <w:r w:rsidRPr="003647EA">
        <w:rPr>
          <w:kern w:val="36"/>
          <w:highlight w:val="yellow"/>
        </w:rPr>
        <w:t>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6656CB" w:rsidRPr="003647EA" w:rsidRDefault="006656CB" w:rsidP="009E605F">
      <w:pPr>
        <w:widowControl w:val="0"/>
        <w:tabs>
          <w:tab w:val="left" w:pos="6300"/>
        </w:tabs>
        <w:ind w:firstLine="709"/>
        <w:jc w:val="both"/>
        <w:rPr>
          <w:kern w:val="36"/>
          <w:highlight w:val="yellow"/>
        </w:rPr>
      </w:pPr>
      <w:r>
        <w:rPr>
          <w:kern w:val="36"/>
          <w:highlight w:val="yellow"/>
        </w:rPr>
        <w:t>13.4.  Ш</w:t>
      </w:r>
      <w:r w:rsidRPr="003647EA">
        <w:rPr>
          <w:kern w:val="36"/>
          <w:highlight w:val="yellow"/>
        </w:rPr>
        <w:t xml:space="preserve">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6656CB" w:rsidRPr="003647EA" w:rsidRDefault="006656CB" w:rsidP="009E605F">
      <w:pPr>
        <w:widowControl w:val="0"/>
        <w:tabs>
          <w:tab w:val="left" w:pos="6300"/>
        </w:tabs>
        <w:ind w:firstLine="709"/>
        <w:jc w:val="both"/>
        <w:rPr>
          <w:kern w:val="36"/>
          <w:highlight w:val="yellow"/>
        </w:rPr>
      </w:pPr>
      <w:r>
        <w:rPr>
          <w:kern w:val="36"/>
          <w:highlight w:val="yellow"/>
        </w:rPr>
        <w:t>13.5.  Ш</w:t>
      </w:r>
      <w:r w:rsidRPr="003647EA">
        <w:rPr>
          <w:kern w:val="36"/>
          <w:highlight w:val="yellow"/>
        </w:rPr>
        <w:t>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6656CB" w:rsidRDefault="006656CB" w:rsidP="009E605F">
      <w:pPr>
        <w:widowControl w:val="0"/>
        <w:tabs>
          <w:tab w:val="left" w:pos="6300"/>
        </w:tabs>
        <w:ind w:firstLine="709"/>
        <w:jc w:val="both"/>
        <w:rPr>
          <w:kern w:val="36"/>
          <w:highlight w:val="yellow"/>
        </w:rPr>
      </w:pPr>
      <w:r>
        <w:rPr>
          <w:kern w:val="36"/>
          <w:highlight w:val="yellow"/>
        </w:rPr>
        <w:t>13.6.  Ш</w:t>
      </w:r>
      <w:r w:rsidRPr="003647EA">
        <w:rPr>
          <w:kern w:val="36"/>
          <w:highlight w:val="yellow"/>
        </w:rPr>
        <w:t>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6656CB" w:rsidRPr="006656CB" w:rsidRDefault="006656CB" w:rsidP="009E605F">
      <w:pPr>
        <w:widowControl w:val="0"/>
        <w:tabs>
          <w:tab w:val="left" w:pos="6300"/>
        </w:tabs>
        <w:ind w:firstLine="709"/>
        <w:jc w:val="both"/>
        <w:rPr>
          <w:kern w:val="36"/>
          <w:highlight w:val="yellow"/>
        </w:rPr>
      </w:pPr>
      <w:r>
        <w:rPr>
          <w:kern w:val="36"/>
          <w:highlight w:val="yellow"/>
        </w:rPr>
        <w:t>13.7.</w:t>
      </w:r>
      <w:r w:rsidRPr="00C90C72">
        <w:rPr>
          <w:kern w:val="36"/>
          <w:highlight w:val="yellow"/>
        </w:rPr>
        <w:t xml:space="preserve">В случае несвоевременного возврата аванса </w:t>
      </w:r>
      <w:r>
        <w:rPr>
          <w:bCs/>
          <w:highlight w:val="yellow"/>
        </w:rPr>
        <w:t xml:space="preserve">Заказчик </w:t>
      </w:r>
      <w:r w:rsidRPr="00C90C72">
        <w:rPr>
          <w:bCs/>
          <w:highlight w:val="yellow"/>
        </w:rPr>
        <w:t xml:space="preserve">вправе требовать уплаты </w:t>
      </w:r>
      <w:r>
        <w:rPr>
          <w:bCs/>
          <w:highlight w:val="yellow"/>
        </w:rPr>
        <w:t>Подрядчиком</w:t>
      </w:r>
      <w:r w:rsidRPr="00C90C72">
        <w:rPr>
          <w:bCs/>
          <w:highlight w:val="yellow"/>
        </w:rPr>
        <w:t xml:space="preserve"> штрафной неустойки в размере </w:t>
      </w:r>
      <w:r w:rsidRPr="00C90C72">
        <w:rPr>
          <w:kern w:val="36"/>
          <w:highlight w:val="yellow"/>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6656CB" w:rsidRDefault="00EA552C" w:rsidP="006656CB">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6656CB" w:rsidRDefault="006656CB" w:rsidP="006656CB">
      <w:pPr>
        <w:widowControl w:val="0"/>
        <w:shd w:val="clear" w:color="auto" w:fill="FFFFFF"/>
        <w:tabs>
          <w:tab w:val="left" w:pos="1276"/>
        </w:tabs>
        <w:ind w:firstLine="709"/>
        <w:jc w:val="both"/>
      </w:pPr>
      <w:r>
        <w:t>13.8.</w:t>
      </w:r>
      <w:r w:rsidR="00EA552C"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656CB" w:rsidRDefault="006656CB" w:rsidP="006656CB">
      <w:pPr>
        <w:widowControl w:val="0"/>
        <w:shd w:val="clear" w:color="auto" w:fill="FFFFFF"/>
        <w:tabs>
          <w:tab w:val="left" w:pos="1276"/>
        </w:tabs>
        <w:ind w:firstLine="709"/>
        <w:jc w:val="both"/>
      </w:pPr>
      <w:r>
        <w:t>13.9.</w:t>
      </w:r>
      <w:r w:rsidR="00EA552C" w:rsidRPr="00C67D7C">
        <w:t>Уплата пеней не освобождает Стороны от исполнения своих обязательств по настоящему Договору.</w:t>
      </w:r>
    </w:p>
    <w:p w:rsidR="006656CB" w:rsidRDefault="006656CB" w:rsidP="006656CB">
      <w:pPr>
        <w:widowControl w:val="0"/>
        <w:shd w:val="clear" w:color="auto" w:fill="FFFFFF"/>
        <w:tabs>
          <w:tab w:val="left" w:pos="1276"/>
        </w:tabs>
        <w:ind w:firstLine="709"/>
        <w:jc w:val="both"/>
      </w:pPr>
      <w:r>
        <w:t xml:space="preserve">13.10. </w:t>
      </w:r>
      <w:r w:rsidR="00EA552C" w:rsidRPr="00C67D7C">
        <w:t xml:space="preserve">Удержание пени, штрафов и денежных средств, указанных в </w:t>
      </w:r>
      <w:r w:rsidR="0044470B" w:rsidRPr="00C67D7C">
        <w:t>п. 3.2</w:t>
      </w:r>
      <w:r w:rsidR="007707E2" w:rsidRPr="00C67D7C">
        <w:t>4</w:t>
      </w:r>
      <w:r w:rsidR="00EA552C"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6656CB" w:rsidP="006656CB">
      <w:pPr>
        <w:widowControl w:val="0"/>
        <w:shd w:val="clear" w:color="auto" w:fill="FFFFFF"/>
        <w:tabs>
          <w:tab w:val="left" w:pos="1276"/>
        </w:tabs>
        <w:ind w:firstLine="709"/>
        <w:jc w:val="both"/>
      </w:pPr>
      <w:r>
        <w:t xml:space="preserve">13.11. </w:t>
      </w:r>
      <w:r w:rsidR="00EA552C"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56CB" w:rsidRDefault="00EA552C" w:rsidP="006656CB">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6656CB" w:rsidRDefault="006656CB" w:rsidP="006656CB">
      <w:pPr>
        <w:widowControl w:val="0"/>
        <w:shd w:val="clear" w:color="auto" w:fill="FFFFFF"/>
        <w:tabs>
          <w:tab w:val="left" w:pos="1276"/>
        </w:tabs>
        <w:ind w:firstLine="709"/>
        <w:jc w:val="both"/>
      </w:pPr>
      <w:r>
        <w:t xml:space="preserve">13.12. </w:t>
      </w:r>
      <w:r w:rsidR="00EA552C" w:rsidRPr="00C67D7C">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6656CB" w:rsidRDefault="006656CB" w:rsidP="006656CB">
      <w:pPr>
        <w:widowControl w:val="0"/>
        <w:shd w:val="clear" w:color="auto" w:fill="FFFFFF"/>
        <w:tabs>
          <w:tab w:val="left" w:pos="1276"/>
        </w:tabs>
        <w:ind w:firstLine="709"/>
        <w:jc w:val="both"/>
      </w:pPr>
      <w:r>
        <w:t xml:space="preserve">13.13. </w:t>
      </w:r>
      <w:r w:rsidR="00EA552C" w:rsidRPr="00C67D7C">
        <w:t>Ответственность Заказчика за причиненные подрядчику убытки ограничивается реальным ущербом, но не более цены договора.</w:t>
      </w:r>
    </w:p>
    <w:p w:rsidR="006656CB" w:rsidRDefault="006656CB" w:rsidP="006656CB">
      <w:pPr>
        <w:widowControl w:val="0"/>
        <w:shd w:val="clear" w:color="auto" w:fill="FFFFFF"/>
        <w:tabs>
          <w:tab w:val="left" w:pos="1276"/>
        </w:tabs>
        <w:ind w:firstLine="709"/>
        <w:jc w:val="both"/>
      </w:pPr>
      <w:r>
        <w:t xml:space="preserve">13.14. </w:t>
      </w:r>
      <w:r w:rsidR="00EA552C"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rsidR="0026044A">
        <w:t>предусмотренных пунктом 6.12</w:t>
      </w:r>
      <w:r w:rsidR="00EA552C" w:rsidRPr="00C67D7C">
        <w:t xml:space="preserve"> настоящего Договора, Заказчик </w:t>
      </w:r>
      <w:r w:rsidR="001B5CCC" w:rsidRPr="003C7066">
        <w:rPr>
          <w:bCs/>
          <w:highlight w:val="yellow"/>
        </w:rPr>
        <w:t>имеет право требования от Подрядчика уплаты</w:t>
      </w:r>
      <w:r w:rsidR="00EA552C" w:rsidRPr="00C67D7C">
        <w:t xml:space="preserve"> штрафа в размере 50 000 (пятидесяти тысяч) рублей за каждый случай нарушения.</w:t>
      </w:r>
    </w:p>
    <w:p w:rsidR="006656CB" w:rsidRDefault="006656CB" w:rsidP="006656CB">
      <w:pPr>
        <w:widowControl w:val="0"/>
        <w:shd w:val="clear" w:color="auto" w:fill="FFFFFF"/>
        <w:tabs>
          <w:tab w:val="left" w:pos="1276"/>
        </w:tabs>
        <w:ind w:firstLine="709"/>
        <w:jc w:val="both"/>
      </w:pPr>
      <w:r>
        <w:t xml:space="preserve">13.15. </w:t>
      </w:r>
      <w:r w:rsidR="00EA552C" w:rsidRPr="006656CB">
        <w:rPr>
          <w:color w:val="000000"/>
        </w:rPr>
        <w:t xml:space="preserve">В случае нарушения Подрядчиком обязанностей по договору Заказчик вправе взыскать с Подрядчика </w:t>
      </w:r>
      <w:r w:rsidR="00EA552C"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656CB" w:rsidRDefault="006656CB" w:rsidP="006656CB">
      <w:pPr>
        <w:widowControl w:val="0"/>
        <w:shd w:val="clear" w:color="auto" w:fill="FFFFFF"/>
        <w:tabs>
          <w:tab w:val="left" w:pos="1276"/>
        </w:tabs>
        <w:ind w:firstLine="709"/>
        <w:jc w:val="both"/>
      </w:pPr>
      <w:r>
        <w:t xml:space="preserve">13.16. </w:t>
      </w:r>
      <w:r w:rsidR="00EA552C"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6656CB" w:rsidRDefault="006656CB" w:rsidP="006656CB">
      <w:pPr>
        <w:widowControl w:val="0"/>
        <w:shd w:val="clear" w:color="auto" w:fill="FFFFFF"/>
        <w:tabs>
          <w:tab w:val="left" w:pos="1276"/>
        </w:tabs>
        <w:ind w:firstLine="709"/>
        <w:jc w:val="both"/>
      </w:pPr>
      <w:r>
        <w:t xml:space="preserve">13.17. </w:t>
      </w:r>
      <w:r w:rsidR="00307EA9"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A274F" w:rsidRDefault="006656CB" w:rsidP="006656CB">
      <w:pPr>
        <w:widowControl w:val="0"/>
        <w:shd w:val="clear" w:color="auto" w:fill="FFFFFF"/>
        <w:tabs>
          <w:tab w:val="left" w:pos="1276"/>
        </w:tabs>
        <w:ind w:firstLine="709"/>
        <w:jc w:val="both"/>
      </w:pPr>
      <w:r>
        <w:t xml:space="preserve">13.18. </w:t>
      </w:r>
      <w:r w:rsidR="00307EA9"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3A4E38">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213DE">
      <w:pPr>
        <w:numPr>
          <w:ilvl w:val="0"/>
          <w:numId w:val="41"/>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26044A">
      <w:pPr>
        <w:numPr>
          <w:ilvl w:val="0"/>
          <w:numId w:val="40"/>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C67D7C" w:rsidRDefault="00DB3EA3" w:rsidP="0026044A">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3A4E38">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60673E">
        <w:rPr>
          <w:rFonts w:ascii="Times New Roman" w:hAnsi="Times New Roman" w:cs="Times New Roman"/>
          <w:sz w:val="24"/>
          <w:szCs w:val="24"/>
        </w:rPr>
        <w:t xml:space="preserve"> декабря</w:t>
      </w:r>
      <w:r w:rsidRPr="00C67D7C">
        <w:rPr>
          <w:rFonts w:ascii="Times New Roman" w:hAnsi="Times New Roman" w:cs="Times New Roman"/>
          <w:sz w:val="24"/>
          <w:szCs w:val="24"/>
        </w:rPr>
        <w:t xml:space="preserve"> 20</w:t>
      </w:r>
      <w:r w:rsidR="003A4E38">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880075" w:rsidRPr="00C67D7C" w:rsidRDefault="00880075" w:rsidP="0026044A">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26044A">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880075" w:rsidRPr="00C67D7C" w:rsidRDefault="006E5AD9" w:rsidP="0026044A">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3A4E38">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3A4E38">
        <w:t>7</w:t>
      </w:r>
      <w:r w:rsidRPr="00C67D7C">
        <w:t xml:space="preserve"> «Антикоррупционная оговорка».</w:t>
      </w:r>
    </w:p>
    <w:p w:rsidR="00185F53" w:rsidRDefault="00185F53" w:rsidP="00943793">
      <w:pPr>
        <w:shd w:val="clear" w:color="auto" w:fill="FFFFFF"/>
        <w:tabs>
          <w:tab w:val="left" w:pos="993"/>
          <w:tab w:val="left" w:pos="1276"/>
        </w:tabs>
        <w:ind w:left="709"/>
      </w:pPr>
      <w:r w:rsidRPr="00C67D7C">
        <w:t>Приложение №</w:t>
      </w:r>
      <w:r w:rsidR="003A4E38">
        <w:t>8</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943793">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Pr="00C67D7C" w:rsidRDefault="006B083F" w:rsidP="006B083F">
      <w:pPr>
        <w:widowControl w:val="0"/>
        <w:shd w:val="clear" w:color="auto" w:fill="FFFFFF"/>
        <w:ind w:firstLine="709"/>
      </w:pPr>
      <w:r w:rsidRPr="00C67D7C">
        <w:t>Приложение №</w:t>
      </w:r>
      <w:r w:rsidR="003A4E38">
        <w:t>10</w:t>
      </w:r>
      <w:r w:rsidRPr="00C67D7C">
        <w:t xml:space="preserve"> «Требования к страховой компании».</w:t>
      </w: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r w:rsidRPr="000F12C2">
              <w:rPr>
                <w:snapToGrid w:val="0"/>
                <w:spacing w:val="-1"/>
              </w:rPr>
              <w:t>г.Владивосток, ул.Командорская, 13а</w:t>
            </w:r>
          </w:p>
          <w:p w:rsidR="003A4E38" w:rsidRPr="000F12C2" w:rsidRDefault="003A4E38" w:rsidP="003A4E38">
            <w:pPr>
              <w:shd w:val="clear" w:color="auto" w:fill="FFFFFF"/>
              <w:ind w:hanging="7"/>
              <w:rPr>
                <w:color w:val="000000"/>
                <w:spacing w:val="-1"/>
              </w:rPr>
            </w:pPr>
            <w:r w:rsidRPr="000F12C2">
              <w:rPr>
                <w:color w:val="000000"/>
                <w:spacing w:val="-1"/>
              </w:rPr>
              <w:t>ИНН 2801108200</w:t>
            </w:r>
            <w:r w:rsidR="007A7C26">
              <w:rPr>
                <w:color w:val="000000"/>
                <w:spacing w:val="-1"/>
              </w:rPr>
              <w:t xml:space="preserve">  </w:t>
            </w:r>
            <w:r w:rsidRPr="000F12C2">
              <w:rPr>
                <w:color w:val="000000"/>
                <w:spacing w:val="-1"/>
              </w:rPr>
              <w:t>КПП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t>Р/с 40702810550260180173</w:t>
            </w:r>
          </w:p>
          <w:p w:rsidR="003A4E38" w:rsidRPr="000F12C2" w:rsidRDefault="003A4E38" w:rsidP="003A4E38">
            <w:pPr>
              <w:shd w:val="clear" w:color="auto" w:fill="FFFFFF"/>
              <w:ind w:hanging="7"/>
              <w:rPr>
                <w:color w:val="000000"/>
              </w:rPr>
            </w:pPr>
            <w:r w:rsidRPr="000F12C2">
              <w:rPr>
                <w:color w:val="000000"/>
              </w:rPr>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t>БИК 040813608</w:t>
            </w: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Pr="000F12C2" w:rsidRDefault="003A4E38" w:rsidP="003A4E38">
            <w:pPr>
              <w:shd w:val="clear" w:color="auto" w:fill="FFFFFF"/>
              <w:ind w:hanging="7"/>
              <w:rPr>
                <w:b/>
                <w:color w:val="000000"/>
                <w:spacing w:val="-3"/>
              </w:rPr>
            </w:pPr>
            <w:r w:rsidRPr="000F12C2">
              <w:rPr>
                <w:b/>
                <w:color w:val="000000"/>
                <w:spacing w:val="-3"/>
              </w:rPr>
              <w:t>АО «ДРСК» «ПЭС»</w:t>
            </w:r>
          </w:p>
          <w:p w:rsidR="00EA552C" w:rsidRPr="00C67D7C" w:rsidRDefault="003A4E38" w:rsidP="003A4E38">
            <w:pPr>
              <w:shd w:val="clear" w:color="auto" w:fill="FFFFFF"/>
              <w:ind w:hanging="7"/>
              <w:rPr>
                <w:color w:val="FF0000"/>
              </w:rPr>
            </w:pPr>
            <w:r w:rsidRPr="000F12C2">
              <w:rPr>
                <w:b/>
                <w:color w:val="000000"/>
                <w:spacing w:val="-3"/>
              </w:rPr>
              <w:t>_____________ С.И.Чутенко</w:t>
            </w:r>
          </w:p>
        </w:tc>
        <w:tc>
          <w:tcPr>
            <w:tcW w:w="5103" w:type="dxa"/>
          </w:tcPr>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A726B4" w:rsidRDefault="009E5381" w:rsidP="00943793">
      <w:pPr>
        <w:tabs>
          <w:tab w:val="left" w:pos="3712"/>
        </w:tabs>
        <w:ind w:left="5760"/>
        <w:jc w:val="right"/>
      </w:pPr>
      <w:r w:rsidRPr="00A726B4">
        <w:t>от</w:t>
      </w:r>
      <w:r w:rsidR="000010F2" w:rsidRPr="00A726B4">
        <w:t xml:space="preserve"> «__</w:t>
      </w:r>
      <w:r w:rsidRPr="00A726B4">
        <w:t>__</w:t>
      </w:r>
      <w:r w:rsidR="000010F2" w:rsidRPr="00A726B4">
        <w:t>»</w:t>
      </w:r>
      <w:r w:rsidRPr="00A726B4">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w:t>
      </w:r>
      <w:r w:rsidR="002A7E30">
        <w:t>19</w:t>
      </w:r>
      <w:r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w:t>
      </w:r>
      <w:r w:rsidR="002A7E30">
        <w:rPr>
          <w:bCs/>
        </w:rPr>
        <w:t>9</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2A7E30" w:rsidRDefault="002A7E30" w:rsidP="00943793">
      <w:pPr>
        <w:pStyle w:val="11"/>
        <w:tabs>
          <w:tab w:val="left" w:pos="703"/>
        </w:tabs>
        <w:spacing w:before="0" w:after="0"/>
        <w:ind w:firstLine="709"/>
        <w:rPr>
          <w:color w:val="FF0000"/>
          <w:sz w:val="24"/>
          <w:szCs w:val="24"/>
        </w:rPr>
      </w:pPr>
    </w:p>
    <w:p w:rsidR="002A7E30" w:rsidRPr="00C67D7C" w:rsidRDefault="002A7E30"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w:t>
      </w:r>
      <w:r w:rsidR="002A7E30">
        <w:t>19</w:t>
      </w:r>
      <w:r w:rsidRPr="00C67D7C">
        <w:t>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0" w:name="_Toc500935255"/>
      <w:bookmarkStart w:id="1" w:name="_Toc501966378"/>
      <w:r w:rsidRPr="00C67D7C">
        <w:rPr>
          <w:b/>
          <w:bCs/>
          <w:kern w:val="32"/>
          <w:sz w:val="28"/>
          <w:szCs w:val="28"/>
        </w:rPr>
        <w:t>Критерии отбора Банков-Гарантов</w:t>
      </w:r>
      <w:bookmarkEnd w:id="0"/>
      <w:bookmarkEnd w:id="1"/>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w:t>
      </w:r>
      <w:r w:rsidR="002A7E30">
        <w:t>19</w:t>
      </w:r>
      <w:r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2" w:name="_Ref353876448"/>
      <w:r w:rsidRPr="00C67D7C">
        <w:t xml:space="preserve">Специализированной формы обратной связи «Линия доверия» на сайте по адресу в Интернете: </w:t>
      </w:r>
      <w:bookmarkEnd w:id="2"/>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3" w:name="_Ref353876452"/>
      <w:r w:rsidRPr="00C67D7C">
        <w:t xml:space="preserve">Электронной почты на адрес: </w:t>
      </w:r>
      <w:bookmarkEnd w:id="3"/>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4"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4"/>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2A7E30">
        <w:rPr>
          <w:color w:val="000000" w:themeColor="text1"/>
          <w:sz w:val="24"/>
          <w:szCs w:val="24"/>
        </w:rPr>
        <w:t>7</w:t>
      </w:r>
      <w:r w:rsidRPr="00C67D7C">
        <w:rPr>
          <w:color w:val="000000" w:themeColor="text1"/>
          <w:sz w:val="24"/>
          <w:szCs w:val="24"/>
        </w:rPr>
        <w:t>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42130D">
            <w:pPr>
              <w:snapToGrid w:val="0"/>
              <w:rPr>
                <w:b/>
                <w:bCs/>
              </w:rPr>
            </w:pPr>
          </w:p>
        </w:tc>
        <w:tc>
          <w:tcPr>
            <w:tcW w:w="4786" w:type="dxa"/>
            <w:gridSpan w:val="2"/>
          </w:tcPr>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Pr="003A1F2B" w:rsidRDefault="00AC52B4" w:rsidP="0042130D">
            <w:pPr>
              <w:shd w:val="clear" w:color="auto" w:fill="FFFFFF"/>
              <w:rPr>
                <w:bCs/>
                <w:sz w:val="22"/>
                <w:szCs w:val="22"/>
              </w:rPr>
            </w:pPr>
            <w:r w:rsidRPr="003A1F2B">
              <w:rPr>
                <w:bCs/>
                <w:sz w:val="22"/>
                <w:szCs w:val="22"/>
              </w:rPr>
              <w:t xml:space="preserve">Приложение № </w:t>
            </w:r>
            <w:r>
              <w:rPr>
                <w:bCs/>
                <w:sz w:val="22"/>
                <w:szCs w:val="22"/>
              </w:rPr>
              <w:t>8</w:t>
            </w:r>
          </w:p>
          <w:p w:rsidR="00AC52B4" w:rsidRPr="003A1F2B" w:rsidRDefault="00AC52B4" w:rsidP="0042130D">
            <w:pPr>
              <w:shd w:val="clear" w:color="auto" w:fill="FFFFFF"/>
              <w:rPr>
                <w:bCs/>
                <w:sz w:val="22"/>
                <w:szCs w:val="22"/>
              </w:rPr>
            </w:pPr>
            <w:r w:rsidRPr="003A1F2B">
              <w:rPr>
                <w:bCs/>
                <w:sz w:val="22"/>
                <w:szCs w:val="22"/>
              </w:rPr>
              <w:t xml:space="preserve">к Договору подряда </w:t>
            </w:r>
          </w:p>
          <w:p w:rsidR="00AC52B4" w:rsidRPr="003A1F2B" w:rsidRDefault="00AC52B4" w:rsidP="0042130D">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42130D">
            <w:pPr>
              <w:snapToGrid w:val="0"/>
              <w:rPr>
                <w:b/>
                <w:bCs/>
              </w:rPr>
            </w:pPr>
          </w:p>
        </w:tc>
      </w:tr>
    </w:tbl>
    <w:p w:rsidR="00AC52B4" w:rsidRPr="001476FA" w:rsidRDefault="00AC52B4" w:rsidP="00AC52B4">
      <w:pPr>
        <w:shd w:val="clear" w:color="auto" w:fill="FFFFFF"/>
        <w:jc w:val="center"/>
        <w:rPr>
          <w:b/>
          <w:bCs/>
        </w:rPr>
      </w:pPr>
      <w:r w:rsidRPr="001476FA">
        <w:rPr>
          <w:b/>
          <w:bCs/>
        </w:rPr>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42130D">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42130D">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42130D">
            <w:pPr>
              <w:jc w:val="center"/>
              <w:rPr>
                <w:b/>
                <w:bCs/>
              </w:rPr>
            </w:pPr>
          </w:p>
          <w:p w:rsidR="00AC52B4" w:rsidRPr="00D949C5" w:rsidRDefault="00AC52B4" w:rsidP="0042130D">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42130D">
              <w:trPr>
                <w:trHeight w:val="255"/>
              </w:trPr>
              <w:tc>
                <w:tcPr>
                  <w:tcW w:w="9735" w:type="dxa"/>
                  <w:gridSpan w:val="9"/>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42130D">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42130D">
                        <w:pPr>
                          <w:snapToGrid w:val="0"/>
                          <w:rPr>
                            <w:sz w:val="22"/>
                            <w:szCs w:val="22"/>
                          </w:rPr>
                        </w:pPr>
                      </w:p>
                      <w:p w:rsidR="00AC52B4" w:rsidRPr="004D650E" w:rsidRDefault="00AC52B4" w:rsidP="0042130D">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42130D">
                    <w:trPr>
                      <w:trHeight w:val="255"/>
                    </w:trPr>
                    <w:tc>
                      <w:tcPr>
                        <w:tcW w:w="1357" w:type="dxa"/>
                        <w:noWrap/>
                        <w:tcMar>
                          <w:top w:w="15" w:type="dxa"/>
                          <w:left w:w="15" w:type="dxa"/>
                          <w:bottom w:w="0" w:type="dxa"/>
                          <w:right w:w="15" w:type="dxa"/>
                        </w:tcMar>
                        <w:vAlign w:val="bottom"/>
                        <w:hideMark/>
                      </w:tcPr>
                      <w:p w:rsidR="00AC52B4" w:rsidRPr="004D650E" w:rsidRDefault="00AC52B4" w:rsidP="0042130D">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42130D">
                  <w:pPr>
                    <w:rPr>
                      <w:sz w:val="20"/>
                      <w:szCs w:val="20"/>
                    </w:rPr>
                  </w:pPr>
                </w:p>
                <w:p w:rsidR="00AC52B4" w:rsidRDefault="00AC52B4" w:rsidP="0042130D">
                  <w:pPr>
                    <w:rPr>
                      <w:sz w:val="20"/>
                      <w:szCs w:val="20"/>
                    </w:rPr>
                  </w:pPr>
                  <w:r w:rsidRPr="002E536F">
                    <w:rPr>
                      <w:sz w:val="20"/>
                      <w:szCs w:val="20"/>
                    </w:rPr>
                    <w:t>составили настоящий акт о нижеследующем:</w:t>
                  </w:r>
                </w:p>
                <w:p w:rsidR="00AC52B4" w:rsidRDefault="00AC52B4" w:rsidP="0042130D">
                  <w:pPr>
                    <w:rPr>
                      <w:sz w:val="20"/>
                      <w:szCs w:val="20"/>
                    </w:rPr>
                  </w:pPr>
                </w:p>
                <w:p w:rsidR="00AC52B4" w:rsidRPr="00D949C5" w:rsidRDefault="00AC52B4" w:rsidP="0042130D">
                  <w:pPr>
                    <w:rPr>
                      <w:sz w:val="20"/>
                      <w:szCs w:val="20"/>
                    </w:rPr>
                  </w:pPr>
                </w:p>
              </w:tc>
            </w:tr>
            <w:tr w:rsidR="00AC52B4" w:rsidRPr="006C6697" w:rsidTr="0042130D">
              <w:trPr>
                <w:trHeight w:val="255"/>
              </w:trPr>
              <w:tc>
                <w:tcPr>
                  <w:tcW w:w="9735" w:type="dxa"/>
                  <w:gridSpan w:val="9"/>
                  <w:noWrap/>
                  <w:tcMar>
                    <w:top w:w="15" w:type="dxa"/>
                    <w:left w:w="15" w:type="dxa"/>
                    <w:bottom w:w="0" w:type="dxa"/>
                    <w:right w:w="15" w:type="dxa"/>
                  </w:tcMar>
                  <w:vAlign w:val="bottom"/>
                  <w:hideMark/>
                </w:tcPr>
                <w:p w:rsidR="00AC52B4" w:rsidRDefault="00AC52B4" w:rsidP="0042130D">
                  <w:pPr>
                    <w:snapToGrid w:val="0"/>
                    <w:rPr>
                      <w:sz w:val="20"/>
                      <w:szCs w:val="20"/>
                    </w:rPr>
                  </w:pPr>
                  <w:r w:rsidRPr="00D949C5">
                    <w:rPr>
                      <w:sz w:val="20"/>
                      <w:szCs w:val="20"/>
                    </w:rPr>
                    <w:t>Сметная (договорная) стоимость по договору № _____  от  _________ 200__ г.  -  ___________ руб.</w:t>
                  </w:r>
                </w:p>
                <w:p w:rsidR="00AC52B4" w:rsidRPr="00D949C5" w:rsidRDefault="00AC52B4" w:rsidP="0042130D">
                  <w:pPr>
                    <w:snapToGrid w:val="0"/>
                    <w:rPr>
                      <w:i/>
                      <w:iCs/>
                      <w:sz w:val="20"/>
                      <w:szCs w:val="20"/>
                    </w:rPr>
                  </w:pPr>
                  <w:r w:rsidRPr="00D949C5">
                    <w:rPr>
                      <w:i/>
                      <w:iCs/>
                      <w:sz w:val="20"/>
                      <w:szCs w:val="20"/>
                    </w:rPr>
                    <w:t xml:space="preserve"> </w:t>
                  </w:r>
                </w:p>
              </w:tc>
            </w:tr>
            <w:tr w:rsidR="00AC52B4" w:rsidRPr="006C6697" w:rsidTr="0042130D">
              <w:trPr>
                <w:trHeight w:val="255"/>
              </w:trPr>
              <w:tc>
                <w:tcPr>
                  <w:tcW w:w="5283" w:type="dxa"/>
                  <w:gridSpan w:val="5"/>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snapToGrid w:val="0"/>
                    <w:rPr>
                      <w:sz w:val="20"/>
                      <w:szCs w:val="20"/>
                    </w:rPr>
                  </w:pPr>
                </w:p>
              </w:tc>
              <w:tc>
                <w:tcPr>
                  <w:tcW w:w="4452" w:type="dxa"/>
                  <w:gridSpan w:val="4"/>
                  <w:hideMark/>
                </w:tcPr>
                <w:p w:rsidR="00AC52B4" w:rsidRPr="00D949C5" w:rsidRDefault="00AC52B4" w:rsidP="0042130D">
                  <w:pPr>
                    <w:snapToGrid w:val="0"/>
                    <w:ind w:right="180"/>
                    <w:jc w:val="right"/>
                    <w:rPr>
                      <w:sz w:val="20"/>
                      <w:szCs w:val="20"/>
                    </w:rPr>
                  </w:pPr>
                  <w:r w:rsidRPr="00D949C5">
                    <w:rPr>
                      <w:sz w:val="20"/>
                      <w:szCs w:val="20"/>
                    </w:rPr>
                    <w:t xml:space="preserve">               Этап № ______ </w:t>
                  </w:r>
                </w:p>
              </w:tc>
            </w:tr>
            <w:tr w:rsidR="00AC52B4" w:rsidRPr="006C6697" w:rsidTr="0042130D">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Выполнено работ</w:t>
                  </w:r>
                </w:p>
              </w:tc>
            </w:tr>
            <w:tr w:rsidR="00AC52B4" w:rsidRPr="006C6697" w:rsidTr="0042130D">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ед. </w:t>
                  </w:r>
                </w:p>
                <w:p w:rsidR="00AC52B4" w:rsidRPr="00D949C5" w:rsidRDefault="00AC52B4" w:rsidP="0042130D">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цена за </w:t>
                  </w:r>
                </w:p>
                <w:p w:rsidR="00AC52B4" w:rsidRPr="00D949C5" w:rsidRDefault="00AC52B4" w:rsidP="0042130D">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стоимость, </w:t>
                  </w:r>
                </w:p>
                <w:p w:rsidR="00AC52B4" w:rsidRPr="00D949C5" w:rsidRDefault="00AC52B4" w:rsidP="0042130D">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в т.ч. НДС, руб.</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7</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bl>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42130D">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AC52B4" w:rsidRPr="00D949C5" w:rsidRDefault="00AC52B4" w:rsidP="0042130D">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42130D">
              <w:trPr>
                <w:cantSplit/>
              </w:trPr>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42130D">
              <w:trPr>
                <w:cantSplit/>
              </w:trPr>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c>
                <w:tcPr>
                  <w:tcW w:w="0" w:type="auto"/>
                  <w:vMerge/>
                  <w:vAlign w:val="center"/>
                  <w:hideMark/>
                </w:tcPr>
                <w:p w:rsidR="00AC52B4" w:rsidRPr="00803E4F" w:rsidRDefault="00AC52B4" w:rsidP="0042130D">
                  <w:pPr>
                    <w:rPr>
                      <w:sz w:val="20"/>
                      <w:szCs w:val="20"/>
                    </w:rPr>
                  </w:pPr>
                </w:p>
              </w:tc>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r>
            <w:tr w:rsidR="00AC52B4" w:rsidRPr="006C6697" w:rsidTr="0042130D">
              <w:trPr>
                <w:cantSplit/>
              </w:trPr>
              <w:tc>
                <w:tcPr>
                  <w:tcW w:w="454"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42130D">
                  <w:pPr>
                    <w:rPr>
                      <w:sz w:val="20"/>
                      <w:szCs w:val="20"/>
                    </w:rPr>
                  </w:pPr>
                </w:p>
              </w:tc>
              <w:tc>
                <w:tcPr>
                  <w:tcW w:w="337" w:type="dxa"/>
                  <w:vMerge w:val="restart"/>
                  <w:tcMar>
                    <w:top w:w="0" w:type="dxa"/>
                    <w:left w:w="108" w:type="dxa"/>
                    <w:bottom w:w="0" w:type="dxa"/>
                    <w:right w:w="108" w:type="dxa"/>
                  </w:tcMar>
                </w:tcPr>
                <w:p w:rsidR="00AC52B4" w:rsidRPr="006C6697" w:rsidRDefault="00AC52B4" w:rsidP="0042130D">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(подпись)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(расшифровка подписи)</w:t>
                  </w:r>
                </w:p>
              </w:tc>
            </w:tr>
            <w:tr w:rsidR="00AC52B4" w:rsidRPr="00803E4F" w:rsidTr="0042130D">
              <w:trPr>
                <w:cantSplit/>
              </w:trPr>
              <w:tc>
                <w:tcPr>
                  <w:tcW w:w="0" w:type="auto"/>
                  <w:vMerge/>
                  <w:vAlign w:val="center"/>
                  <w:hideMark/>
                </w:tcPr>
                <w:p w:rsidR="00AC52B4" w:rsidRPr="00D949C5" w:rsidRDefault="00AC52B4" w:rsidP="0042130D">
                  <w:pPr>
                    <w:rPr>
                      <w:sz w:val="20"/>
                      <w:szCs w:val="20"/>
                    </w:rPr>
                  </w:pPr>
                </w:p>
              </w:tc>
              <w:tc>
                <w:tcPr>
                  <w:tcW w:w="4046" w:type="dxa"/>
                  <w:tcMar>
                    <w:top w:w="0" w:type="dxa"/>
                    <w:left w:w="108" w:type="dxa"/>
                    <w:bottom w:w="0" w:type="dxa"/>
                    <w:right w:w="108" w:type="dxa"/>
                  </w:tcMar>
                </w:tcPr>
                <w:p w:rsidR="00AC52B4" w:rsidRPr="00D949C5"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Mar>
                    <w:top w:w="0" w:type="dxa"/>
                    <w:left w:w="108" w:type="dxa"/>
                    <w:bottom w:w="0" w:type="dxa"/>
                    <w:right w:w="108" w:type="dxa"/>
                  </w:tcMar>
                </w:tcPr>
                <w:p w:rsidR="00AC52B4" w:rsidRPr="00803E4F" w:rsidRDefault="00AC52B4" w:rsidP="0042130D">
                  <w:pPr>
                    <w:snapToGrid w:val="0"/>
                    <w:rPr>
                      <w:sz w:val="20"/>
                      <w:szCs w:val="20"/>
                    </w:rPr>
                  </w:pPr>
                </w:p>
              </w:tc>
            </w:tr>
          </w:tbl>
          <w:p w:rsidR="00AC52B4" w:rsidRPr="0084430F" w:rsidRDefault="00AC52B4" w:rsidP="0042130D">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42130D">
        <w:tc>
          <w:tcPr>
            <w:tcW w:w="4785" w:type="dxa"/>
          </w:tcPr>
          <w:p w:rsidR="00AC52B4" w:rsidRPr="00BC4883" w:rsidRDefault="00AC52B4" w:rsidP="0042130D">
            <w:pPr>
              <w:rPr>
                <w:b/>
                <w:lang w:val="en-US"/>
              </w:rPr>
            </w:pPr>
            <w:r w:rsidRPr="007632A9">
              <w:rPr>
                <w:b/>
              </w:rPr>
              <w:t>Заказчик</w:t>
            </w:r>
            <w:r>
              <w:rPr>
                <w:b/>
                <w:lang w:val="en-US"/>
              </w:rPr>
              <w:t>:</w:t>
            </w:r>
          </w:p>
          <w:p w:rsidR="00AC52B4" w:rsidRDefault="00AC52B4" w:rsidP="0042130D">
            <w:pPr>
              <w:rPr>
                <w:b/>
              </w:rPr>
            </w:pPr>
          </w:p>
          <w:p w:rsidR="00AC52B4" w:rsidRPr="008476D0" w:rsidRDefault="00AC52B4" w:rsidP="0042130D">
            <w:pPr>
              <w:rPr>
                <w:b/>
              </w:rPr>
            </w:pPr>
            <w:r>
              <w:rPr>
                <w:b/>
              </w:rPr>
              <w:t>____________/___________</w:t>
            </w:r>
          </w:p>
        </w:tc>
        <w:tc>
          <w:tcPr>
            <w:tcW w:w="4786" w:type="dxa"/>
          </w:tcPr>
          <w:p w:rsidR="00AC52B4" w:rsidRDefault="00AC52B4" w:rsidP="0042130D">
            <w:pPr>
              <w:rPr>
                <w:b/>
              </w:rPr>
            </w:pPr>
            <w:r w:rsidRPr="008476D0">
              <w:rPr>
                <w:b/>
              </w:rPr>
              <w:t>Подрядчик:</w:t>
            </w:r>
          </w:p>
          <w:p w:rsidR="00AC52B4" w:rsidRDefault="00AC52B4" w:rsidP="0042130D">
            <w:pPr>
              <w:rPr>
                <w:b/>
              </w:rPr>
            </w:pPr>
          </w:p>
          <w:p w:rsidR="00AC52B4" w:rsidRPr="008476D0" w:rsidRDefault="00AC52B4" w:rsidP="0042130D">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42130D">
        <w:trPr>
          <w:trHeight w:val="293"/>
          <w:jc w:val="right"/>
        </w:trPr>
        <w:tc>
          <w:tcPr>
            <w:tcW w:w="3975" w:type="dxa"/>
            <w:noWrap/>
            <w:vAlign w:val="bottom"/>
            <w:hideMark/>
          </w:tcPr>
          <w:p w:rsidR="00AC52B4" w:rsidRDefault="00AC52B4" w:rsidP="0042130D">
            <w:pPr>
              <w:tabs>
                <w:tab w:val="left" w:pos="1701"/>
                <w:tab w:val="left" w:pos="3712"/>
              </w:tabs>
              <w:jc w:val="right"/>
            </w:pPr>
            <w:r>
              <w:t>Приложение № 9</w:t>
            </w:r>
          </w:p>
          <w:p w:rsidR="00AC52B4" w:rsidRDefault="00AC52B4" w:rsidP="0042130D">
            <w:pPr>
              <w:tabs>
                <w:tab w:val="left" w:pos="1701"/>
                <w:tab w:val="left" w:pos="3712"/>
              </w:tabs>
              <w:jc w:val="right"/>
            </w:pPr>
            <w:r>
              <w:t>к  договору № _______</w:t>
            </w:r>
          </w:p>
          <w:p w:rsidR="00AC52B4" w:rsidRDefault="00AC52B4" w:rsidP="0042130D">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674" w:type="pct"/>
            <w:gridSpan w:val="2"/>
            <w:noWrap/>
            <w:vAlign w:val="bottom"/>
            <w:hideMark/>
          </w:tcPr>
          <w:p w:rsidR="00AC52B4" w:rsidRDefault="00AC52B4" w:rsidP="0042130D">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tcPr>
          <w:p w:rsidR="00AC52B4" w:rsidRDefault="00AC52B4" w:rsidP="0042130D">
            <w:pPr>
              <w:snapToGrid w:val="0"/>
              <w:ind w:firstLine="567"/>
              <w:jc w:val="both"/>
              <w:rPr>
                <w:color w:val="000000"/>
                <w:sz w:val="22"/>
                <w:szCs w:val="28"/>
              </w:rPr>
            </w:pPr>
          </w:p>
        </w:tc>
      </w:tr>
      <w:tr w:rsidR="00AC52B4" w:rsidTr="0042130D">
        <w:trPr>
          <w:gridAfter w:val="2"/>
          <w:wAfter w:w="112" w:type="pct"/>
          <w:trHeight w:val="772"/>
        </w:trPr>
        <w:tc>
          <w:tcPr>
            <w:tcW w:w="4614" w:type="pct"/>
            <w:gridSpan w:val="16"/>
            <w:vAlign w:val="bottom"/>
            <w:hideMark/>
          </w:tcPr>
          <w:p w:rsidR="00AC52B4" w:rsidRDefault="00AC52B4" w:rsidP="0042130D">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7"/>
          <w:wAfter w:w="364" w:type="pct"/>
          <w:trHeight w:val="142"/>
        </w:trPr>
        <w:tc>
          <w:tcPr>
            <w:tcW w:w="4636" w:type="pct"/>
            <w:gridSpan w:val="17"/>
            <w:vAlign w:val="bottom"/>
            <w:hideMark/>
          </w:tcPr>
          <w:p w:rsidR="00AC52B4" w:rsidRDefault="00AC52B4" w:rsidP="0042130D">
            <w:pPr>
              <w:snapToGrid w:val="0"/>
              <w:ind w:firstLine="567"/>
              <w:jc w:val="right"/>
              <w:rPr>
                <w:color w:val="000000"/>
                <w:sz w:val="22"/>
                <w:szCs w:val="28"/>
              </w:rPr>
            </w:pPr>
            <w:r>
              <w:rPr>
                <w:color w:val="000000"/>
                <w:sz w:val="22"/>
              </w:rPr>
              <w:t xml:space="preserve"> «______» _________________ 201_ год</w:t>
            </w:r>
          </w:p>
        </w:tc>
      </w:tr>
      <w:tr w:rsidR="00AC52B4" w:rsidTr="0042130D">
        <w:trPr>
          <w:gridAfter w:val="2"/>
          <w:wAfter w:w="112" w:type="pct"/>
          <w:trHeight w:val="1517"/>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1"/>
          <w:wAfter w:w="94" w:type="pct"/>
          <w:trHeight w:val="723"/>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42130D">
            <w:pPr>
              <w:rPr>
                <w:sz w:val="20"/>
                <w:szCs w:val="20"/>
              </w:rPr>
            </w:pPr>
          </w:p>
        </w:tc>
        <w:tc>
          <w:tcPr>
            <w:tcW w:w="180" w:type="pct"/>
            <w:gridSpan w:val="4"/>
            <w:noWrap/>
            <w:vAlign w:val="bottom"/>
            <w:hideMark/>
          </w:tcPr>
          <w:p w:rsidR="00AC52B4" w:rsidRDefault="00AC52B4" w:rsidP="0042130D">
            <w:pPr>
              <w:rPr>
                <w:sz w:val="20"/>
                <w:szCs w:val="20"/>
              </w:rPr>
            </w:pPr>
          </w:p>
        </w:tc>
      </w:tr>
      <w:tr w:rsidR="00AC52B4" w:rsidTr="0042130D">
        <w:trPr>
          <w:gridAfter w:val="2"/>
          <w:wAfter w:w="112" w:type="pct"/>
          <w:trHeight w:val="190"/>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599" w:type="pct"/>
            <w:gridSpan w:val="2"/>
            <w:noWrap/>
            <w:vAlign w:val="bottom"/>
            <w:hideMark/>
          </w:tcPr>
          <w:p w:rsidR="00AC52B4" w:rsidRDefault="00AC52B4" w:rsidP="0042130D">
            <w:pPr>
              <w:rPr>
                <w:sz w:val="20"/>
                <w:szCs w:val="20"/>
              </w:rPr>
            </w:pPr>
          </w:p>
        </w:tc>
        <w:tc>
          <w:tcPr>
            <w:tcW w:w="271" w:type="pct"/>
            <w:gridSpan w:val="3"/>
            <w:noWrap/>
            <w:vAlign w:val="bottom"/>
          </w:tcPr>
          <w:p w:rsidR="00AC52B4" w:rsidRDefault="00AC52B4" w:rsidP="0042130D">
            <w:pPr>
              <w:snapToGrid w:val="0"/>
              <w:ind w:firstLine="567"/>
              <w:jc w:val="both"/>
              <w:rPr>
                <w:color w:val="000000"/>
                <w:sz w:val="22"/>
                <w:szCs w:val="28"/>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42130D">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42130D">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42130D">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42130D">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42130D">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42130D">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42130D">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42130D">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42130D">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AC52B4" w:rsidRDefault="00AC52B4" w:rsidP="0042130D">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42130D">
            <w:pPr>
              <w:rPr>
                <w:b/>
                <w:bCs/>
                <w:color w:val="000000"/>
                <w:sz w:val="22"/>
                <w:szCs w:val="28"/>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643" w:type="pct"/>
            <w:gridSpan w:val="3"/>
            <w:noWrap/>
            <w:vAlign w:val="bottom"/>
            <w:hideMark/>
          </w:tcPr>
          <w:p w:rsidR="00AC52B4" w:rsidRDefault="00AC52B4" w:rsidP="0042130D">
            <w:pPr>
              <w:rPr>
                <w:sz w:val="20"/>
                <w:szCs w:val="20"/>
              </w:rPr>
            </w:pPr>
          </w:p>
        </w:tc>
        <w:tc>
          <w:tcPr>
            <w:tcW w:w="389" w:type="pct"/>
            <w:gridSpan w:val="3"/>
            <w:noWrap/>
            <w:vAlign w:val="bottom"/>
            <w:hideMark/>
          </w:tcPr>
          <w:p w:rsidR="00AC52B4" w:rsidRDefault="00AC52B4" w:rsidP="0042130D">
            <w:pPr>
              <w:rPr>
                <w:sz w:val="20"/>
                <w:szCs w:val="20"/>
              </w:rPr>
            </w:pPr>
          </w:p>
        </w:tc>
        <w:tc>
          <w:tcPr>
            <w:tcW w:w="140" w:type="pct"/>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1214"/>
        </w:trPr>
        <w:tc>
          <w:tcPr>
            <w:tcW w:w="4614" w:type="pct"/>
            <w:gridSpan w:val="16"/>
            <w:hideMark/>
          </w:tcPr>
          <w:p w:rsidR="00AC52B4" w:rsidRDefault="00AC52B4" w:rsidP="0042130D">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80"/>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461" w:type="pct"/>
            <w:gridSpan w:val="2"/>
            <w:noWrap/>
            <w:vAlign w:val="bottom"/>
            <w:hideMark/>
          </w:tcPr>
          <w:p w:rsidR="00AC52B4" w:rsidRDefault="00AC52B4" w:rsidP="0042130D">
            <w:pPr>
              <w:rPr>
                <w:sz w:val="20"/>
                <w:szCs w:val="20"/>
              </w:rPr>
            </w:pP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1596" w:type="pct"/>
            <w:gridSpan w:val="4"/>
            <w:noWrap/>
            <w:vAlign w:val="bottom"/>
            <w:hideMark/>
          </w:tcPr>
          <w:p w:rsidR="00AC52B4" w:rsidRDefault="00AC52B4" w:rsidP="0042130D">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762" w:type="pct"/>
            <w:gridSpan w:val="4"/>
            <w:noWrap/>
            <w:vAlign w:val="bottom"/>
            <w:hideMark/>
          </w:tcPr>
          <w:p w:rsidR="00AC52B4" w:rsidRDefault="00AC52B4" w:rsidP="0042130D">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2380" w:type="pct"/>
            <w:gridSpan w:val="12"/>
            <w:noWrap/>
            <w:vAlign w:val="bottom"/>
            <w:hideMark/>
          </w:tcPr>
          <w:p w:rsidR="00AC52B4" w:rsidRDefault="00AC52B4" w:rsidP="0042130D">
            <w:pPr>
              <w:rPr>
                <w:sz w:val="20"/>
                <w:szCs w:val="20"/>
              </w:rPr>
            </w:pP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noWrap/>
            <w:vAlign w:val="bottom"/>
            <w:hideMark/>
          </w:tcPr>
          <w:p w:rsidR="00AC52B4" w:rsidRDefault="00AC52B4" w:rsidP="0042130D">
            <w:pPr>
              <w:rPr>
                <w:sz w:val="20"/>
                <w:szCs w:val="20"/>
              </w:rPr>
            </w:pP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42130D">
            <w:pPr>
              <w:rPr>
                <w:sz w:val="20"/>
                <w:szCs w:val="20"/>
              </w:rPr>
            </w:pPr>
          </w:p>
        </w:tc>
        <w:tc>
          <w:tcPr>
            <w:tcW w:w="2409" w:type="pct"/>
            <w:gridSpan w:val="13"/>
            <w:noWrap/>
            <w:vAlign w:val="bottom"/>
            <w:hideMark/>
          </w:tcPr>
          <w:p w:rsidR="00AC52B4" w:rsidRDefault="00AC52B4" w:rsidP="0042130D">
            <w:pPr>
              <w:ind w:firstLine="106"/>
              <w:rPr>
                <w:color w:val="000000"/>
                <w:sz w:val="22"/>
                <w:szCs w:val="22"/>
              </w:rPr>
            </w:pPr>
            <w:r>
              <w:rPr>
                <w:color w:val="000000"/>
                <w:sz w:val="22"/>
                <w:szCs w:val="22"/>
              </w:rPr>
              <w:t xml:space="preserve">Директор филиала </w:t>
            </w:r>
          </w:p>
          <w:p w:rsidR="00AC52B4" w:rsidRDefault="00AC52B4" w:rsidP="0042130D">
            <w:pPr>
              <w:snapToGrid w:val="0"/>
              <w:jc w:val="both"/>
              <w:rPr>
                <w:color w:val="000000"/>
                <w:sz w:val="22"/>
                <w:szCs w:val="22"/>
              </w:rPr>
            </w:pPr>
            <w:r>
              <w:rPr>
                <w:color w:val="000000"/>
                <w:sz w:val="22"/>
                <w:szCs w:val="22"/>
              </w:rPr>
              <w:t xml:space="preserve">АО «ДРСК» «ПЭС» </w:t>
            </w: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42130D">
            <w:pPr>
              <w:rPr>
                <w:sz w:val="20"/>
                <w:szCs w:val="20"/>
              </w:rPr>
            </w:pPr>
          </w:p>
        </w:tc>
        <w:tc>
          <w:tcPr>
            <w:tcW w:w="2296" w:type="pct"/>
            <w:gridSpan w:val="10"/>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559" w:type="pct"/>
            <w:gridSpan w:val="2"/>
            <w:noWrap/>
            <w:vAlign w:val="bottom"/>
            <w:hideMark/>
          </w:tcPr>
          <w:p w:rsidR="00AC52B4" w:rsidRDefault="00AC52B4" w:rsidP="0042130D">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42130D">
            <w:pPr>
              <w:rPr>
                <w:sz w:val="20"/>
                <w:szCs w:val="20"/>
              </w:rPr>
            </w:pPr>
          </w:p>
        </w:tc>
        <w:tc>
          <w:tcPr>
            <w:tcW w:w="670" w:type="pct"/>
            <w:gridSpan w:val="3"/>
            <w:noWrap/>
            <w:vAlign w:val="bottom"/>
            <w:hideMark/>
          </w:tcPr>
          <w:p w:rsidR="00AC52B4" w:rsidRDefault="00AC52B4" w:rsidP="0042130D">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w:t>
      </w:r>
      <w:r w:rsidR="002A7E30">
        <w:t>19</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9F2" w:rsidRDefault="00C779F2" w:rsidP="00153E35">
      <w:r>
        <w:separator/>
      </w:r>
    </w:p>
  </w:endnote>
  <w:endnote w:type="continuationSeparator" w:id="0">
    <w:p w:rsidR="00C779F2" w:rsidRDefault="00C779F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9F2" w:rsidRDefault="00C779F2" w:rsidP="00153E35">
      <w:r>
        <w:separator/>
      </w:r>
    </w:p>
  </w:footnote>
  <w:footnote w:type="continuationSeparator" w:id="0">
    <w:p w:rsidR="00C779F2" w:rsidRDefault="00C779F2" w:rsidP="00153E35">
      <w:r>
        <w:continuationSeparator/>
      </w:r>
    </w:p>
  </w:footnote>
  <w:footnote w:id="1">
    <w:p w:rsidR="00C24E63" w:rsidRDefault="00C24E63"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24E63" w:rsidRPr="00F75D6A" w:rsidRDefault="00C24E63"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C24E63" w:rsidRPr="00BA3A83" w:rsidRDefault="00C24E63"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C24E63" w:rsidRPr="001F3865" w:rsidRDefault="00C24E6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47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750D08"/>
    <w:multiLevelType w:val="multilevel"/>
    <w:tmpl w:val="34F041E0"/>
    <w:lvl w:ilvl="0">
      <w:start w:val="15"/>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8"/>
  </w:num>
  <w:num w:numId="2">
    <w:abstractNumId w:val="37"/>
  </w:num>
  <w:num w:numId="3">
    <w:abstractNumId w:val="15"/>
  </w:num>
  <w:num w:numId="4">
    <w:abstractNumId w:val="22"/>
  </w:num>
  <w:num w:numId="5">
    <w:abstractNumId w:val="32"/>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3"/>
  </w:num>
  <w:num w:numId="13">
    <w:abstractNumId w:val="4"/>
  </w:num>
  <w:num w:numId="14">
    <w:abstractNumId w:val="39"/>
  </w:num>
  <w:num w:numId="15">
    <w:abstractNumId w:val="35"/>
  </w:num>
  <w:num w:numId="16">
    <w:abstractNumId w:val="10"/>
  </w:num>
  <w:num w:numId="17">
    <w:abstractNumId w:val="9"/>
  </w:num>
  <w:num w:numId="18">
    <w:abstractNumId w:val="34"/>
  </w:num>
  <w:num w:numId="19">
    <w:abstractNumId w:val="11"/>
  </w:num>
  <w:num w:numId="20">
    <w:abstractNumId w:val="31"/>
  </w:num>
  <w:num w:numId="21">
    <w:abstractNumId w:val="0"/>
  </w:num>
  <w:num w:numId="22">
    <w:abstractNumId w:val="12"/>
  </w:num>
  <w:num w:numId="23">
    <w:abstractNumId w:val="28"/>
  </w:num>
  <w:num w:numId="24">
    <w:abstractNumId w:val="38"/>
  </w:num>
  <w:num w:numId="25">
    <w:abstractNumId w:val="19"/>
  </w:num>
  <w:num w:numId="26">
    <w:abstractNumId w:val="33"/>
  </w:num>
  <w:num w:numId="27">
    <w:abstractNumId w:val="6"/>
  </w:num>
  <w:num w:numId="28">
    <w:abstractNumId w:val="26"/>
  </w:num>
  <w:num w:numId="29">
    <w:abstractNumId w:val="17"/>
  </w:num>
  <w:num w:numId="30">
    <w:abstractNumId w:val="27"/>
  </w:num>
  <w:num w:numId="31">
    <w:abstractNumId w:val="24"/>
  </w:num>
  <w:num w:numId="32">
    <w:abstractNumId w:val="5"/>
  </w:num>
  <w:num w:numId="33">
    <w:abstractNumId w:val="36"/>
  </w:num>
  <w:num w:numId="34">
    <w:abstractNumId w:val="7"/>
  </w:num>
  <w:num w:numId="35">
    <w:abstractNumId w:val="14"/>
  </w:num>
  <w:num w:numId="36">
    <w:abstractNumId w:val="13"/>
  </w:num>
  <w:num w:numId="37">
    <w:abstractNumId w:val="1"/>
  </w:num>
  <w:num w:numId="38">
    <w:abstractNumId w:val="2"/>
  </w:num>
  <w:num w:numId="39">
    <w:abstractNumId w:val="29"/>
  </w:num>
  <w:num w:numId="40">
    <w:abstractNumId w:val="23"/>
  </w:num>
  <w:num w:numId="41">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3EA8"/>
    <w:rsid w:val="00024691"/>
    <w:rsid w:val="000252D2"/>
    <w:rsid w:val="0003779F"/>
    <w:rsid w:val="0004702A"/>
    <w:rsid w:val="000475D9"/>
    <w:rsid w:val="000531AB"/>
    <w:rsid w:val="0005429B"/>
    <w:rsid w:val="00062B34"/>
    <w:rsid w:val="00063BBC"/>
    <w:rsid w:val="000731E3"/>
    <w:rsid w:val="000746DB"/>
    <w:rsid w:val="00076B50"/>
    <w:rsid w:val="00080973"/>
    <w:rsid w:val="000822C1"/>
    <w:rsid w:val="0008561B"/>
    <w:rsid w:val="00085757"/>
    <w:rsid w:val="0008655F"/>
    <w:rsid w:val="000918C5"/>
    <w:rsid w:val="00093E1F"/>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D78"/>
    <w:rsid w:val="000F0CA6"/>
    <w:rsid w:val="000F2DC8"/>
    <w:rsid w:val="000F2E5B"/>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093B"/>
    <w:rsid w:val="00192201"/>
    <w:rsid w:val="001956D4"/>
    <w:rsid w:val="001A055A"/>
    <w:rsid w:val="001A05F7"/>
    <w:rsid w:val="001B076F"/>
    <w:rsid w:val="001B5893"/>
    <w:rsid w:val="001B5CCC"/>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7E30"/>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B66CF"/>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158DE"/>
    <w:rsid w:val="0042001D"/>
    <w:rsid w:val="0042130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0995"/>
    <w:rsid w:val="00490594"/>
    <w:rsid w:val="004A0D7B"/>
    <w:rsid w:val="004A1AEC"/>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D7DE2"/>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6E70"/>
    <w:rsid w:val="00570D92"/>
    <w:rsid w:val="00576955"/>
    <w:rsid w:val="0058662B"/>
    <w:rsid w:val="005919E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317C"/>
    <w:rsid w:val="0066505D"/>
    <w:rsid w:val="006656CB"/>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A7C26"/>
    <w:rsid w:val="007B47EC"/>
    <w:rsid w:val="007B5E12"/>
    <w:rsid w:val="007B6CC1"/>
    <w:rsid w:val="007C2830"/>
    <w:rsid w:val="007C4A9D"/>
    <w:rsid w:val="007C5382"/>
    <w:rsid w:val="007C56DA"/>
    <w:rsid w:val="007C796C"/>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663A0"/>
    <w:rsid w:val="00870806"/>
    <w:rsid w:val="00871F16"/>
    <w:rsid w:val="00880075"/>
    <w:rsid w:val="0088034A"/>
    <w:rsid w:val="008807C0"/>
    <w:rsid w:val="00884ED3"/>
    <w:rsid w:val="0089170A"/>
    <w:rsid w:val="00892117"/>
    <w:rsid w:val="00893445"/>
    <w:rsid w:val="00893EC5"/>
    <w:rsid w:val="008A3C64"/>
    <w:rsid w:val="008A477D"/>
    <w:rsid w:val="008A4C10"/>
    <w:rsid w:val="008B16A2"/>
    <w:rsid w:val="008B1F54"/>
    <w:rsid w:val="008B3518"/>
    <w:rsid w:val="008B352F"/>
    <w:rsid w:val="008B78E6"/>
    <w:rsid w:val="008C10BE"/>
    <w:rsid w:val="008C1A27"/>
    <w:rsid w:val="008C1EA8"/>
    <w:rsid w:val="008C247E"/>
    <w:rsid w:val="008D0069"/>
    <w:rsid w:val="008D0379"/>
    <w:rsid w:val="008D1EB4"/>
    <w:rsid w:val="008D2056"/>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283F"/>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291"/>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E605F"/>
    <w:rsid w:val="009E75D2"/>
    <w:rsid w:val="009F152C"/>
    <w:rsid w:val="009F2900"/>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726B4"/>
    <w:rsid w:val="00A804AB"/>
    <w:rsid w:val="00A85154"/>
    <w:rsid w:val="00A86FD3"/>
    <w:rsid w:val="00A91290"/>
    <w:rsid w:val="00A94501"/>
    <w:rsid w:val="00AA22DE"/>
    <w:rsid w:val="00AA616F"/>
    <w:rsid w:val="00AA6B23"/>
    <w:rsid w:val="00AA6EB8"/>
    <w:rsid w:val="00AB0DDD"/>
    <w:rsid w:val="00AB15C7"/>
    <w:rsid w:val="00AC11B2"/>
    <w:rsid w:val="00AC52B4"/>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78C0"/>
    <w:rsid w:val="00B11F3C"/>
    <w:rsid w:val="00B15E77"/>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84B57"/>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24E63"/>
    <w:rsid w:val="00C3732A"/>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9F2"/>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0E6F"/>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5CAA"/>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134C7"/>
    <w:rsid w:val="00E17E9C"/>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3EFD"/>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36CC"/>
    <w:rsid w:val="00FC3C00"/>
    <w:rsid w:val="00FC7D2F"/>
    <w:rsid w:val="00FD0C0B"/>
    <w:rsid w:val="00FD310D"/>
    <w:rsid w:val="00FE104F"/>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1591B"/>
  <w15:docId w15:val="{8F64AD53-EA0E-4510-9F9B-395DB07E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689FB-B077-4A0A-B66D-3A9030FC4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15513</Words>
  <Characters>88428</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103734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2019-02-08T04:45:00Z</cp:lastPrinted>
  <dcterms:created xsi:type="dcterms:W3CDTF">2019-04-18T05:12:00Z</dcterms:created>
  <dcterms:modified xsi:type="dcterms:W3CDTF">2019-04-18T05:12:00Z</dcterms:modified>
</cp:coreProperties>
</file>