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D879BB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D879BB">
        <w:rPr>
          <w:sz w:val="26"/>
          <w:szCs w:val="26"/>
        </w:rPr>
        <w:t>запросу котировок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</w:t>
      </w:r>
      <w:r w:rsidRPr="00D879BB">
        <w:rPr>
          <w:sz w:val="26"/>
          <w:szCs w:val="26"/>
        </w:rPr>
        <w:t>форме</w:t>
      </w:r>
      <w:r w:rsidR="00D879BB" w:rsidRPr="00D879BB">
        <w:rPr>
          <w:i/>
          <w:sz w:val="26"/>
          <w:szCs w:val="26"/>
        </w:rPr>
        <w:t xml:space="preserve"> </w:t>
      </w:r>
      <w:r w:rsidR="00755B36" w:rsidRPr="00755B36">
        <w:rPr>
          <w:sz w:val="22"/>
          <w:szCs w:val="22"/>
        </w:rPr>
        <w:t>Запасные части к выключателям</w:t>
      </w:r>
      <w:r w:rsidR="00755B36" w:rsidRPr="00D879BB">
        <w:rPr>
          <w:sz w:val="26"/>
          <w:szCs w:val="26"/>
        </w:rPr>
        <w:t xml:space="preserve"> </w:t>
      </w:r>
      <w:r w:rsidR="00595817" w:rsidRPr="00D879BB">
        <w:rPr>
          <w:sz w:val="26"/>
          <w:szCs w:val="26"/>
        </w:rPr>
        <w:t xml:space="preserve">(Лот № </w:t>
      </w:r>
      <w:r w:rsidR="00755B36">
        <w:rPr>
          <w:sz w:val="26"/>
          <w:szCs w:val="26"/>
        </w:rPr>
        <w:t>1330</w:t>
      </w:r>
      <w:r w:rsidR="00595817" w:rsidRPr="00D879BB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E86B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5B3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.03.2019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под №  </w:t>
      </w:r>
      <w:r w:rsidR="00755B36">
        <w:rPr>
          <w:rFonts w:ascii="Times New Roman" w:eastAsia="Times New Roman" w:hAnsi="Times New Roman" w:cs="Times New Roman"/>
          <w:sz w:val="26"/>
          <w:szCs w:val="26"/>
          <w:lang w:eastAsia="ru-RU"/>
        </w:rPr>
        <w:t>31907670724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E05D27" w:rsidRDefault="00CA66DD" w:rsidP="002E6B95">
            <w:pPr>
              <w:widowControl w:val="0"/>
              <w:snapToGrid w:val="0"/>
              <w:jc w:val="center"/>
              <w:rPr>
                <w:b/>
              </w:rPr>
            </w:pPr>
            <w:r w:rsidRPr="00E05D27">
              <w:rPr>
                <w:b/>
              </w:rPr>
              <w:t>№</w:t>
            </w:r>
            <w:r w:rsidRPr="00E05D27">
              <w:rPr>
                <w:b/>
              </w:rPr>
              <w:br/>
            </w:r>
            <w:proofErr w:type="gramStart"/>
            <w:r w:rsidRPr="00E05D27">
              <w:rPr>
                <w:b/>
              </w:rPr>
              <w:t>п</w:t>
            </w:r>
            <w:proofErr w:type="gramEnd"/>
            <w:r w:rsidRPr="00E05D27">
              <w:rPr>
                <w:b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36250C" w:rsidRDefault="00D879BB" w:rsidP="00D879BB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25.03.2019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D879BB" w:rsidRPr="00D879BB" w:rsidRDefault="00755B36" w:rsidP="00755B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«19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>» апреля 2019 г. в 15 ч. 00 мин.  (по местному времени Организатора)</w:t>
            </w:r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Default="0036250C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D879BB" w:rsidRPr="00D005CE" w:rsidTr="00831A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755B36" w:rsidRDefault="00D879BB">
            <w:pPr>
              <w:pStyle w:val="Tableheader"/>
              <w:spacing w:before="0"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755B36">
              <w:rPr>
                <w:b w:val="0"/>
                <w:sz w:val="24"/>
                <w:lang w:eastAsia="en-US"/>
              </w:rPr>
              <w:t>1.2.18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D879BB" w:rsidRPr="00D879BB" w:rsidRDefault="00755B36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.04.2019 г. в 15 ч. 00 мин </w:t>
            </w:r>
          </w:p>
          <w:p w:rsidR="00D879BB" w:rsidRPr="00D879BB" w:rsidRDefault="00D879BB" w:rsidP="00D879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99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_Ref389823218 \r \h  \* MERGEFORMAT </w:instrTex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1.2.19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961532" w:rsidRDefault="00D879BB" w:rsidP="00D879BB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lastRenderedPageBreak/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25.03.2019</w:t>
            </w:r>
          </w:p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D879BB" w:rsidRPr="00D879BB" w:rsidRDefault="00755B36" w:rsidP="00D879BB">
            <w:pPr>
              <w:spacing w:after="0" w:line="240" w:lineRule="auto"/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.04.2019 г. в 15 ч. 00 мин  (по местному времени Организатора) </w:t>
            </w:r>
          </w:p>
        </w:tc>
      </w:tr>
      <w:tr w:rsidR="00D879BB" w:rsidRPr="00D879BB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D879BB" w:rsidRDefault="00D879BB" w:rsidP="00961532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D879BB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D879BB" w:rsidRPr="00D879BB" w:rsidRDefault="00755B36" w:rsidP="00755B36">
            <w:pPr>
              <w:pStyle w:val="Tabletext"/>
              <w:tabs>
                <w:tab w:val="left" w:pos="3975"/>
              </w:tabs>
              <w:spacing w:before="0"/>
              <w:rPr>
                <w:sz w:val="24"/>
              </w:rPr>
            </w:pPr>
            <w:r>
              <w:rPr>
                <w:snapToGrid w:val="0"/>
                <w:sz w:val="24"/>
              </w:rPr>
              <w:t>24</w:t>
            </w:r>
            <w:r w:rsidR="00D879BB" w:rsidRPr="00D879BB">
              <w:rPr>
                <w:snapToGrid w:val="0"/>
                <w:sz w:val="24"/>
              </w:rPr>
              <w:t>.0</w:t>
            </w:r>
            <w:r>
              <w:rPr>
                <w:snapToGrid w:val="0"/>
                <w:sz w:val="24"/>
              </w:rPr>
              <w:t>5</w:t>
            </w:r>
            <w:r w:rsidR="00D879BB" w:rsidRPr="00D879BB">
              <w:rPr>
                <w:snapToGrid w:val="0"/>
                <w:sz w:val="24"/>
              </w:rPr>
              <w:t xml:space="preserve">.2019 </w:t>
            </w:r>
            <w:r w:rsidR="00D879BB" w:rsidRPr="00D879BB">
              <w:rPr>
                <w:snapToGrid w:val="0"/>
                <w:sz w:val="24"/>
              </w:rPr>
              <w:tab/>
            </w:r>
          </w:p>
        </w:tc>
      </w:tr>
    </w:tbl>
    <w:p w:rsidR="00D005CE" w:rsidRPr="00D879BB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Докуме</w:t>
      </w:r>
      <w:r w:rsidR="00A9177E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нтация о закупке в редакции от </w:t>
      </w:r>
      <w:r w:rsidR="00D879BB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01.04</w:t>
      </w:r>
      <w:r w:rsidR="007D70E4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Все остальные условия Извещения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 </w:t>
      </w:r>
      <w:bookmarkStart w:id="0" w:name="_GoBack"/>
      <w:bookmarkEnd w:id="0"/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595817"/>
    <w:rsid w:val="00755B36"/>
    <w:rsid w:val="007D70E4"/>
    <w:rsid w:val="008205A2"/>
    <w:rsid w:val="008E1801"/>
    <w:rsid w:val="0091168F"/>
    <w:rsid w:val="00961532"/>
    <w:rsid w:val="009C1F4C"/>
    <w:rsid w:val="00A9177E"/>
    <w:rsid w:val="00B559A3"/>
    <w:rsid w:val="00C30958"/>
    <w:rsid w:val="00C97C58"/>
    <w:rsid w:val="00CA66DD"/>
    <w:rsid w:val="00CE54BB"/>
    <w:rsid w:val="00D005CE"/>
    <w:rsid w:val="00D879BB"/>
    <w:rsid w:val="00E86B75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29</cp:revision>
  <cp:lastPrinted>2019-01-21T04:28:00Z</cp:lastPrinted>
  <dcterms:created xsi:type="dcterms:W3CDTF">2018-12-07T01:33:00Z</dcterms:created>
  <dcterms:modified xsi:type="dcterms:W3CDTF">2019-04-01T04:30:00Z</dcterms:modified>
</cp:coreProperties>
</file>