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45E3">
        <w:rPr>
          <w:b/>
          <w:bCs/>
          <w:iCs/>
          <w:snapToGrid/>
          <w:spacing w:val="40"/>
          <w:sz w:val="29"/>
          <w:szCs w:val="29"/>
        </w:rPr>
        <w:t>267/УКС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9B45E3" w:rsidRPr="009B45E3">
        <w:rPr>
          <w:b/>
          <w:bCs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г. Свободный к сетям 10-0,4 кВ», закупка 10915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«30»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  04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31907604969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«Мероприятия по строительству и реконструкции для технологического присоединения потребителей г. Свободный к сетям 10-0,4 кВ», закупка 10915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B45E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B45E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06:29</w:t>
            </w:r>
          </w:p>
        </w:tc>
        <w:tc>
          <w:tcPr>
            <w:tcW w:w="4819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ПромЭлектроСтрой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2807015739/280701001 </w:t>
            </w:r>
            <w:r w:rsidRPr="00DE7DF3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2268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08:34</w:t>
            </w:r>
          </w:p>
        </w:tc>
        <w:tc>
          <w:tcPr>
            <w:tcW w:w="4819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"Системы и Сети"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2801102858/280101001 </w:t>
            </w:r>
            <w:r w:rsidRPr="00DE7DF3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268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</w:tr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sz w:val="26"/>
                <w:szCs w:val="26"/>
              </w:rPr>
              <w:t>25.03.2019 19:58</w:t>
            </w:r>
          </w:p>
        </w:tc>
        <w:tc>
          <w:tcPr>
            <w:tcW w:w="4819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ООО производственно-коммерческая компания "Электросервис"</w:t>
            </w:r>
            <w:r w:rsidRPr="00DE7DF3">
              <w:rPr>
                <w:sz w:val="26"/>
                <w:szCs w:val="26"/>
              </w:rPr>
              <w:t xml:space="preserve"> </w:t>
            </w:r>
            <w:r w:rsidRPr="00DE7DF3">
              <w:rPr>
                <w:sz w:val="26"/>
                <w:szCs w:val="26"/>
              </w:rPr>
              <w:br/>
              <w:t xml:space="preserve">ИНН/КПП 6323033935/632101001 </w:t>
            </w:r>
            <w:r w:rsidRPr="00DE7DF3">
              <w:rPr>
                <w:sz w:val="26"/>
                <w:szCs w:val="26"/>
              </w:rPr>
              <w:br/>
              <w:t>ОГРН 1036301054877</w:t>
            </w:r>
          </w:p>
        </w:tc>
        <w:tc>
          <w:tcPr>
            <w:tcW w:w="2268" w:type="dxa"/>
            <w:vAlign w:val="center"/>
          </w:tcPr>
          <w:p w:rsidR="009B45E3" w:rsidRPr="00DE7DF3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640BC1" w:rsidRPr="00640BC1" w:rsidRDefault="00640BC1" w:rsidP="00640BC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Признать процедуру переторжки состоявшейся.</w:t>
      </w:r>
    </w:p>
    <w:p w:rsidR="00640BC1" w:rsidRPr="00640BC1" w:rsidRDefault="00640BC1" w:rsidP="00640BC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640BC1" w:rsidRPr="00640BC1" w:rsidTr="00063261">
        <w:trPr>
          <w:trHeight w:val="105"/>
        </w:trPr>
        <w:tc>
          <w:tcPr>
            <w:tcW w:w="9758" w:type="dxa"/>
            <w:vAlign w:val="center"/>
          </w:tcPr>
          <w:p w:rsidR="00640BC1" w:rsidRPr="00640BC1" w:rsidRDefault="00640BC1" w:rsidP="00640BC1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640BC1">
              <w:rPr>
                <w:snapToGrid/>
                <w:sz w:val="24"/>
                <w:szCs w:val="24"/>
              </w:rPr>
              <w:t xml:space="preserve">ООО производственно-коммерческая компания "Электросервис" </w:t>
            </w:r>
            <w:r w:rsidRPr="00640BC1">
              <w:rPr>
                <w:snapToGrid/>
                <w:sz w:val="24"/>
                <w:szCs w:val="24"/>
              </w:rPr>
              <w:br/>
              <w:t>ИНН/КПП 6323033935/632101001 ОГРН 1036301054877</w:t>
            </w:r>
          </w:p>
        </w:tc>
      </w:tr>
    </w:tbl>
    <w:p w:rsidR="00640BC1" w:rsidRPr="00640BC1" w:rsidRDefault="00640BC1" w:rsidP="00640BC1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640BC1">
        <w:rPr>
          <w:sz w:val="24"/>
          <w:szCs w:val="24"/>
        </w:rPr>
        <w:t xml:space="preserve">4.11.3.16 </w:t>
      </w:r>
      <w:r w:rsidRPr="00640BC1">
        <w:rPr>
          <w:snapToGrid/>
          <w:sz w:val="24"/>
          <w:szCs w:val="24"/>
        </w:rPr>
        <w:t>Документации о закупке,</w:t>
      </w:r>
      <w:r w:rsidRPr="00640BC1">
        <w:rPr>
          <w:sz w:val="24"/>
          <w:szCs w:val="24"/>
        </w:rPr>
        <w:t xml:space="preserve"> </w:t>
      </w:r>
      <w:r w:rsidRPr="00640BC1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640BC1" w:rsidRPr="00640BC1" w:rsidRDefault="00640BC1" w:rsidP="00640BC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lastRenderedPageBreak/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640BC1" w:rsidRPr="00640BC1" w:rsidTr="00063261">
        <w:trPr>
          <w:trHeight w:val="1334"/>
          <w:tblHeader/>
        </w:trPr>
        <w:tc>
          <w:tcPr>
            <w:tcW w:w="627" w:type="dxa"/>
            <w:vAlign w:val="center"/>
          </w:tcPr>
          <w:p w:rsidR="00640BC1" w:rsidRPr="00640BC1" w:rsidRDefault="00640BC1" w:rsidP="00640B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640BC1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640BC1" w:rsidRPr="00640BC1" w:rsidRDefault="00640BC1" w:rsidP="00640B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640BC1" w:rsidRPr="00640BC1" w:rsidRDefault="00640BC1" w:rsidP="00640B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640BC1" w:rsidRPr="00640BC1" w:rsidRDefault="00640BC1" w:rsidP="00640B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640BC1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640BC1" w:rsidRPr="00640BC1" w:rsidRDefault="00640BC1" w:rsidP="00640B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640BC1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40BC1" w:rsidRPr="00640BC1" w:rsidTr="00063261">
        <w:trPr>
          <w:trHeight w:val="95"/>
        </w:trPr>
        <w:tc>
          <w:tcPr>
            <w:tcW w:w="627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640BC1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25.03.2019 06:29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ООО</w:t>
            </w:r>
            <w:r w:rsidRPr="00640BC1">
              <w:rPr>
                <w:snapToGrid/>
                <w:sz w:val="22"/>
                <w:szCs w:val="22"/>
              </w:rPr>
              <w:t xml:space="preserve"> ПромЭлектроСтрой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2807015739/280701001 </w:t>
            </w:r>
            <w:r w:rsidRPr="00640BC1">
              <w:rPr>
                <w:snapToGrid/>
                <w:sz w:val="22"/>
                <w:szCs w:val="22"/>
              </w:rPr>
              <w:br/>
              <w:t>ОГРН 1102807000559</w:t>
            </w:r>
          </w:p>
        </w:tc>
        <w:tc>
          <w:tcPr>
            <w:tcW w:w="2505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7 356 813,35</w:t>
            </w:r>
          </w:p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7 356 813,35</w:t>
            </w:r>
          </w:p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 xml:space="preserve"> </w:t>
            </w:r>
          </w:p>
        </w:tc>
      </w:tr>
      <w:tr w:rsidR="00640BC1" w:rsidRPr="00640BC1" w:rsidTr="00063261">
        <w:trPr>
          <w:trHeight w:val="95"/>
        </w:trPr>
        <w:tc>
          <w:tcPr>
            <w:tcW w:w="627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640BC1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18.04.2019 09:51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ООО</w:t>
            </w:r>
            <w:r w:rsidRPr="00640BC1">
              <w:rPr>
                <w:snapToGrid/>
                <w:sz w:val="22"/>
                <w:szCs w:val="22"/>
              </w:rPr>
              <w:t xml:space="preserve"> "Системы и Сети"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2801102858/280101001 </w:t>
            </w:r>
            <w:r w:rsidRPr="00640BC1">
              <w:rPr>
                <w:snapToGrid/>
                <w:sz w:val="22"/>
                <w:szCs w:val="22"/>
              </w:rPr>
              <w:br/>
              <w:t>ОГРН 1052800042778</w:t>
            </w:r>
          </w:p>
        </w:tc>
        <w:tc>
          <w:tcPr>
            <w:tcW w:w="2505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7 356 813,35</w:t>
            </w:r>
          </w:p>
        </w:tc>
        <w:tc>
          <w:tcPr>
            <w:tcW w:w="2373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7 000 000,00</w:t>
            </w:r>
          </w:p>
        </w:tc>
      </w:tr>
      <w:tr w:rsidR="00640BC1" w:rsidRPr="00640BC1" w:rsidTr="00063261">
        <w:trPr>
          <w:trHeight w:val="95"/>
        </w:trPr>
        <w:tc>
          <w:tcPr>
            <w:tcW w:w="627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640BC1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25.03.2019 19:58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ООО ПКК</w:t>
            </w:r>
            <w:r w:rsidRPr="00640BC1">
              <w:rPr>
                <w:snapToGrid/>
                <w:sz w:val="22"/>
                <w:szCs w:val="22"/>
              </w:rPr>
              <w:t xml:space="preserve"> "Электросервис"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6323033935/632101001 </w:t>
            </w:r>
            <w:r w:rsidRPr="00640BC1">
              <w:rPr>
                <w:snapToGrid/>
                <w:sz w:val="22"/>
                <w:szCs w:val="22"/>
              </w:rPr>
              <w:br/>
              <w:t>ОГРН 1036301054877</w:t>
            </w:r>
          </w:p>
        </w:tc>
        <w:tc>
          <w:tcPr>
            <w:tcW w:w="2505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</w:t>
            </w:r>
            <w:bookmarkStart w:id="2" w:name="_GoBack"/>
            <w:bookmarkEnd w:id="2"/>
            <w:r w:rsidRPr="00640BC1">
              <w:rPr>
                <w:b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2373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 xml:space="preserve">7 356 813,35 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19"/>
        <w:gridCol w:w="1072"/>
        <w:gridCol w:w="1719"/>
        <w:gridCol w:w="1768"/>
        <w:gridCol w:w="1556"/>
      </w:tblGrid>
      <w:tr w:rsidR="00640BC1" w:rsidRPr="00640BC1" w:rsidTr="00063261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40BC1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40BC1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40BC1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640BC1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640BC1" w:rsidRPr="00640BC1" w:rsidTr="00063261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40BC1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40BC1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z w:val="24"/>
                <w:szCs w:val="24"/>
              </w:rPr>
              <w:t>ООО "Системы и Сети"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z w:val="24"/>
                <w:szCs w:val="24"/>
              </w:rPr>
              <w:t xml:space="preserve">ООО ПромЭлектроСтрой 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z w:val="24"/>
                <w:szCs w:val="24"/>
              </w:rPr>
              <w:t>ООО ПКК "Электросервис"</w:t>
            </w:r>
          </w:p>
        </w:tc>
      </w:tr>
      <w:tr w:rsidR="00640BC1" w:rsidRPr="00640BC1" w:rsidTr="00063261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640BC1">
              <w:rPr>
                <w:snapToGrid/>
                <w:sz w:val="20"/>
              </w:rPr>
              <w:t xml:space="preserve">Критерий оценки 1: </w:t>
            </w:r>
            <w:r w:rsidRPr="00640BC1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640BC1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0,22</w:t>
            </w:r>
          </w:p>
        </w:tc>
        <w:tc>
          <w:tcPr>
            <w:tcW w:w="91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640BC1" w:rsidRPr="00640BC1" w:rsidTr="00063261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640BC1">
              <w:rPr>
                <w:snapToGrid/>
                <w:sz w:val="20"/>
              </w:rPr>
              <w:t>Критерий оценки 2: «</w:t>
            </w:r>
            <w:r w:rsidRPr="00640BC1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1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640BC1" w:rsidRPr="00640BC1" w:rsidTr="00063261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640BC1">
              <w:rPr>
                <w:snapToGrid/>
                <w:sz w:val="20"/>
              </w:rPr>
              <w:t xml:space="preserve">Подкритерий 2.1: </w:t>
            </w:r>
            <w:r w:rsidRPr="00640BC1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892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17" w:type="pct"/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5,00</w:t>
            </w:r>
          </w:p>
        </w:tc>
      </w:tr>
      <w:tr w:rsidR="00640BC1" w:rsidRPr="00640BC1" w:rsidTr="00063261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640BC1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640BC1">
              <w:rPr>
                <w:b/>
                <w:i/>
                <w:snapToGrid/>
                <w:sz w:val="22"/>
                <w:szCs w:val="22"/>
                <w:u w:val="single"/>
              </w:rPr>
              <w:t>0,72</w:t>
            </w:r>
          </w:p>
        </w:tc>
        <w:tc>
          <w:tcPr>
            <w:tcW w:w="917" w:type="pct"/>
            <w:tcBorders>
              <w:bottom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640BC1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  <w:tc>
          <w:tcPr>
            <w:tcW w:w="80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0BC1" w:rsidRPr="00640BC1" w:rsidRDefault="00640BC1" w:rsidP="00640B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640BC1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640BC1" w:rsidRPr="00640BC1" w:rsidRDefault="00640BC1" w:rsidP="00640BC1">
      <w:pPr>
        <w:spacing w:line="240" w:lineRule="auto"/>
        <w:ind w:firstLine="0"/>
        <w:rPr>
          <w:sz w:val="24"/>
          <w:szCs w:val="24"/>
        </w:rPr>
      </w:pP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640BC1" w:rsidRPr="00640BC1" w:rsidTr="00063261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640BC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640BC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40BC1" w:rsidRPr="00640BC1" w:rsidTr="00063261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0BC1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18.04.2019 09:51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 xml:space="preserve">ООО  "Системы и Сети"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2801102858/280101001 </w:t>
            </w:r>
            <w:r w:rsidRPr="00640BC1">
              <w:rPr>
                <w:snapToGrid/>
                <w:sz w:val="22"/>
                <w:szCs w:val="22"/>
              </w:rPr>
              <w:br/>
              <w:t>ОГРН 1052800042778</w:t>
            </w:r>
          </w:p>
        </w:tc>
        <w:tc>
          <w:tcPr>
            <w:tcW w:w="2151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7 000 000,00</w:t>
            </w:r>
          </w:p>
        </w:tc>
        <w:tc>
          <w:tcPr>
            <w:tcW w:w="154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640BC1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640BC1">
              <w:rPr>
                <w:sz w:val="22"/>
                <w:szCs w:val="22"/>
              </w:rPr>
              <w:t>«Нет»</w:t>
            </w:r>
          </w:p>
        </w:tc>
      </w:tr>
      <w:tr w:rsidR="00640BC1" w:rsidRPr="00640BC1" w:rsidTr="00063261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0BC1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25.03.2019 06:29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 xml:space="preserve">ООО  ПромЭлектроСтрой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2807015739/280701001 </w:t>
            </w:r>
            <w:r w:rsidRPr="00640BC1">
              <w:rPr>
                <w:snapToGrid/>
                <w:sz w:val="22"/>
                <w:szCs w:val="22"/>
              </w:rPr>
              <w:br/>
              <w:t>ОГРН 1102807000559</w:t>
            </w:r>
          </w:p>
        </w:tc>
        <w:tc>
          <w:tcPr>
            <w:tcW w:w="2151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7 356 813,35</w:t>
            </w:r>
          </w:p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0BC1">
              <w:rPr>
                <w:sz w:val="22"/>
                <w:szCs w:val="22"/>
              </w:rPr>
              <w:t>«Нет»</w:t>
            </w:r>
          </w:p>
        </w:tc>
      </w:tr>
      <w:tr w:rsidR="00640BC1" w:rsidRPr="00640BC1" w:rsidTr="00063261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0BC1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>25.03.2019 19:58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40BC1">
              <w:rPr>
                <w:snapToGrid/>
                <w:sz w:val="22"/>
                <w:szCs w:val="22"/>
              </w:rPr>
              <w:t xml:space="preserve">ООО ПКК "Электросервис" </w:t>
            </w:r>
            <w:r w:rsidRPr="00640BC1">
              <w:rPr>
                <w:snapToGrid/>
                <w:sz w:val="22"/>
                <w:szCs w:val="22"/>
              </w:rPr>
              <w:br/>
              <w:t xml:space="preserve">ИНН/КПП 6323033935/632101001 </w:t>
            </w:r>
            <w:r w:rsidRPr="00640BC1">
              <w:rPr>
                <w:snapToGrid/>
                <w:sz w:val="22"/>
                <w:szCs w:val="22"/>
              </w:rPr>
              <w:br/>
              <w:t>ОГРН 1036301054877</w:t>
            </w:r>
          </w:p>
        </w:tc>
        <w:tc>
          <w:tcPr>
            <w:tcW w:w="2151" w:type="dxa"/>
            <w:vAlign w:val="center"/>
          </w:tcPr>
          <w:p w:rsidR="00640BC1" w:rsidRPr="00640BC1" w:rsidRDefault="00640BC1" w:rsidP="00640BC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40BC1">
              <w:rPr>
                <w:b/>
                <w:i/>
                <w:snapToGrid/>
                <w:sz w:val="22"/>
                <w:szCs w:val="22"/>
              </w:rPr>
              <w:t>7 356 813,35</w:t>
            </w:r>
          </w:p>
        </w:tc>
        <w:tc>
          <w:tcPr>
            <w:tcW w:w="154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0BC1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640BC1" w:rsidRPr="00640BC1" w:rsidRDefault="00640BC1" w:rsidP="00640BC1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640B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40BC1">
        <w:rPr>
          <w:b/>
          <w:i/>
          <w:snapToGrid/>
          <w:sz w:val="24"/>
          <w:szCs w:val="24"/>
        </w:rPr>
        <w:t>Общество с ограниченной ответственностью "Системы и Сети" ИНН/КПП 2801102858/280101001 ОГРН 1052800042778</w:t>
      </w:r>
      <w:r w:rsidRPr="00640BC1">
        <w:rPr>
          <w:sz w:val="24"/>
          <w:szCs w:val="24"/>
        </w:rPr>
        <w:t xml:space="preserve">с ценой заявки не более </w:t>
      </w:r>
      <w:r w:rsidRPr="00640BC1">
        <w:rPr>
          <w:b/>
          <w:i/>
          <w:sz w:val="24"/>
          <w:szCs w:val="24"/>
        </w:rPr>
        <w:t>7 000 000,00</w:t>
      </w:r>
      <w:r w:rsidRPr="00640BC1">
        <w:rPr>
          <w:sz w:val="24"/>
          <w:szCs w:val="24"/>
        </w:rPr>
        <w:t xml:space="preserve"> руб. без учета НДС. </w:t>
      </w:r>
      <w:r w:rsidRPr="00640BC1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640BC1">
        <w:rPr>
          <w:bCs/>
          <w:snapToGrid/>
          <w:sz w:val="24"/>
          <w:szCs w:val="24"/>
          <w:lang w:eastAsia="en-US"/>
        </w:rPr>
        <w:t xml:space="preserve">: с момента заключения договора по 30.06.2019 г. </w:t>
      </w:r>
      <w:r w:rsidRPr="00640BC1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640BC1">
        <w:rPr>
          <w:bCs/>
          <w:snapToGrid/>
          <w:sz w:val="24"/>
          <w:szCs w:val="24"/>
          <w:lang w:eastAsia="en-US"/>
        </w:rPr>
        <w:t xml:space="preserve">: </w:t>
      </w:r>
      <w:r w:rsidRPr="00640BC1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640BC1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640BC1">
        <w:rPr>
          <w:b/>
          <w:i/>
          <w:snapToGrid/>
          <w:color w:val="0000FF"/>
          <w:sz w:val="24"/>
          <w:szCs w:val="24"/>
        </w:rPr>
        <w:t xml:space="preserve"> </w:t>
      </w:r>
      <w:r w:rsidRPr="00640BC1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640BC1">
        <w:rPr>
          <w:bCs/>
          <w:snapToGrid/>
          <w:sz w:val="24"/>
          <w:szCs w:val="24"/>
          <w:lang w:eastAsia="en-US"/>
        </w:rPr>
        <w:t xml:space="preserve">: </w:t>
      </w:r>
      <w:r w:rsidRPr="00640BC1">
        <w:rPr>
          <w:bCs/>
          <w:iCs/>
          <w:snapToGrid/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 w:rsidRPr="00640BC1">
        <w:rPr>
          <w:bCs/>
          <w:iCs/>
          <w:snapToGrid/>
          <w:color w:val="000000"/>
          <w:sz w:val="24"/>
          <w:szCs w:val="24"/>
        </w:rPr>
        <w:t>устанавливается</w:t>
      </w:r>
      <w:r w:rsidRPr="00640BC1">
        <w:rPr>
          <w:bCs/>
          <w:i/>
          <w:iCs/>
          <w:snapToGrid/>
          <w:color w:val="000000"/>
          <w:sz w:val="24"/>
          <w:szCs w:val="24"/>
        </w:rPr>
        <w:t xml:space="preserve"> 60 (шестьдесят</w:t>
      </w:r>
      <w:r w:rsidRPr="00640BC1">
        <w:rPr>
          <w:i/>
          <w:snapToGrid/>
          <w:color w:val="000000"/>
          <w:sz w:val="24"/>
          <w:szCs w:val="24"/>
        </w:rPr>
        <w:t>) месяцев</w:t>
      </w:r>
      <w:r w:rsidRPr="00640BC1">
        <w:rPr>
          <w:bCs/>
          <w:iCs/>
          <w:snapToGrid/>
          <w:color w:val="000000"/>
          <w:sz w:val="24"/>
          <w:szCs w:val="24"/>
        </w:rPr>
        <w:t xml:space="preserve"> с момента </w:t>
      </w:r>
      <w:r w:rsidRPr="00640BC1">
        <w:rPr>
          <w:bCs/>
          <w:iCs/>
          <w:snapToGrid/>
          <w:sz w:val="24"/>
          <w:szCs w:val="24"/>
        </w:rPr>
        <w:t xml:space="preserve">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640BC1">
        <w:rPr>
          <w:bCs/>
          <w:i/>
          <w:iCs/>
          <w:snapToGrid/>
          <w:color w:val="000000"/>
          <w:sz w:val="24"/>
          <w:szCs w:val="24"/>
        </w:rPr>
        <w:t>60 (шестидесяти</w:t>
      </w:r>
      <w:r w:rsidRPr="00640BC1">
        <w:rPr>
          <w:bCs/>
          <w:iCs/>
          <w:snapToGrid/>
          <w:color w:val="000000"/>
          <w:sz w:val="24"/>
          <w:szCs w:val="24"/>
        </w:rPr>
        <w:t xml:space="preserve">) </w:t>
      </w:r>
      <w:r w:rsidRPr="00640BC1">
        <w:rPr>
          <w:bCs/>
          <w:i/>
          <w:iCs/>
          <w:snapToGrid/>
          <w:color w:val="000000"/>
          <w:sz w:val="24"/>
          <w:szCs w:val="24"/>
        </w:rPr>
        <w:t>месяцев</w:t>
      </w:r>
      <w:r w:rsidRPr="00640BC1">
        <w:rPr>
          <w:bCs/>
          <w:iCs/>
          <w:snapToGrid/>
          <w:color w:val="000000"/>
          <w:sz w:val="24"/>
          <w:szCs w:val="24"/>
        </w:rPr>
        <w:t>, если иное</w:t>
      </w:r>
      <w:r w:rsidRPr="00640BC1">
        <w:rPr>
          <w:bCs/>
          <w:iCs/>
          <w:snapToGrid/>
          <w:sz w:val="24"/>
          <w:szCs w:val="24"/>
        </w:rPr>
        <w:t xml:space="preserve"> не установлено заводом изготовителем.</w:t>
      </w:r>
    </w:p>
    <w:p w:rsidR="00640BC1" w:rsidRPr="00640BC1" w:rsidRDefault="00640BC1" w:rsidP="00640BC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40BC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40BC1" w:rsidRPr="00640BC1" w:rsidRDefault="00640BC1" w:rsidP="00640BC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40BC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40BC1" w:rsidDel="004E6453">
        <w:rPr>
          <w:sz w:val="24"/>
          <w:szCs w:val="24"/>
        </w:rPr>
        <w:t xml:space="preserve"> </w:t>
      </w:r>
      <w:r w:rsidRPr="00640BC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86" w:rsidRDefault="000E0186" w:rsidP="00355095">
      <w:pPr>
        <w:spacing w:line="240" w:lineRule="auto"/>
      </w:pPr>
      <w:r>
        <w:separator/>
      </w:r>
    </w:p>
  </w:endnote>
  <w:endnote w:type="continuationSeparator" w:id="0">
    <w:p w:rsidR="000E0186" w:rsidRDefault="000E01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B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B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86" w:rsidRDefault="000E0186" w:rsidP="00355095">
      <w:pPr>
        <w:spacing w:line="240" w:lineRule="auto"/>
      </w:pPr>
      <w:r>
        <w:separator/>
      </w:r>
    </w:p>
  </w:footnote>
  <w:footnote w:type="continuationSeparator" w:id="0">
    <w:p w:rsidR="000E0186" w:rsidRDefault="000E01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40BC1">
      <w:rPr>
        <w:i/>
        <w:sz w:val="20"/>
      </w:rPr>
      <w:t>10915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5C2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CF5A-6F16-4EC1-941D-7C887053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2019-04-26T04:27:00Z</dcterms:modified>
</cp:coreProperties>
</file>