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5EB370AA" w:rsidR="007B7C44" w:rsidRPr="007B7C44" w:rsidRDefault="007B7C44" w:rsidP="007B7C44">
      <w:pPr>
        <w:spacing w:before="480" w:after="360"/>
        <w:jc w:val="center"/>
        <w:outlineLvl w:val="4"/>
        <w:rPr>
          <w:b/>
        </w:rPr>
      </w:pPr>
      <w:r w:rsidRPr="007B7C44">
        <w:rPr>
          <w:b/>
        </w:rPr>
        <w:t>(Лот № 804)</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4E4FFEB" w:rsidR="00AD5D76" w:rsidRPr="00C91BE0" w:rsidRDefault="00AD5D76" w:rsidP="001028B1">
            <w:pPr>
              <w:pStyle w:val="afa"/>
              <w:tabs>
                <w:tab w:val="clear" w:pos="1134"/>
              </w:tabs>
              <w:spacing w:before="0"/>
              <w:jc w:val="left"/>
              <w:rPr>
                <w:b/>
                <w:i/>
                <w:snapToGrid w:val="0"/>
                <w:szCs w:val="26"/>
                <w:lang w:eastAsia="en-US"/>
              </w:rPr>
            </w:pPr>
            <w:r w:rsidRPr="00C91BE0">
              <w:rPr>
                <w:b/>
                <w:i/>
                <w:snapToGrid w:val="0"/>
                <w:szCs w:val="26"/>
                <w:lang w:eastAsia="en-US"/>
              </w:rPr>
              <w:t>№</w:t>
            </w:r>
            <w:r w:rsidR="001028B1">
              <w:rPr>
                <w:b/>
                <w:i/>
                <w:snapToGrid w:val="0"/>
                <w:szCs w:val="26"/>
                <w:lang w:eastAsia="en-US"/>
              </w:rPr>
              <w:t>297</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2324C876" w14:textId="72089F96" w:rsidR="00AD5D76" w:rsidRPr="00C91BE0" w:rsidRDefault="00AD5D76" w:rsidP="00B572C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572CF">
              <w:rPr>
                <w:b/>
                <w:i/>
                <w:snapToGrid w:val="0"/>
                <w:szCs w:val="26"/>
                <w:lang w:eastAsia="en-US"/>
              </w:rPr>
              <w:t>20</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марта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223507E"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804:</w:t>
            </w:r>
          </w:p>
          <w:p w14:paraId="5C2F78FC" w14:textId="17566DC8" w:rsidR="005A78D9" w:rsidRPr="00DB7BCB" w:rsidRDefault="00AD5D76" w:rsidP="00AD5D76">
            <w:pPr>
              <w:widowControl w:val="0"/>
              <w:spacing w:after="120"/>
              <w:rPr>
                <w:b/>
              </w:rPr>
            </w:pPr>
            <w:r w:rsidRPr="00B01497">
              <w:rPr>
                <w:b/>
                <w:i/>
              </w:rPr>
              <w:t xml:space="preserve"> «</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F853095" w:rsidR="00845457" w:rsidRPr="00DB7BCB" w:rsidRDefault="00845457" w:rsidP="00AD5D7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D5D76" w:rsidRPr="00AD5D76">
              <w:rPr>
                <w:rFonts w:ascii="Times New Roman" w:eastAsia="Times New Roman" w:hAnsi="Times New Roman"/>
                <w:b/>
                <w:i/>
                <w:noProof w:val="0"/>
                <w:snapToGrid w:val="0"/>
                <w:sz w:val="26"/>
                <w:lang w:eastAsia="ru-RU"/>
              </w:rPr>
              <w:t>2 492 174.36</w:t>
            </w:r>
            <w:r w:rsidRPr="00AD5D76">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1D5ECD8" w:rsidR="006C03D6" w:rsidRPr="00D2146E" w:rsidRDefault="006C03D6" w:rsidP="000E44F2">
            <w:pPr>
              <w:widowControl w:val="0"/>
              <w:spacing w:after="120"/>
              <w:rPr>
                <w:b/>
                <w:i/>
              </w:rPr>
            </w:pPr>
            <w:r w:rsidRPr="00D2146E">
              <w:rPr>
                <w:b/>
                <w:i/>
              </w:rPr>
              <w:t>«</w:t>
            </w:r>
            <w:r w:rsidR="00B572CF">
              <w:rPr>
                <w:b/>
                <w:i/>
              </w:rPr>
              <w:t>20</w:t>
            </w:r>
            <w:r w:rsidRPr="00D2146E">
              <w:rPr>
                <w:b/>
                <w:i/>
              </w:rPr>
              <w:t xml:space="preserve">» </w:t>
            </w:r>
            <w:r w:rsidR="00D2146E" w:rsidRPr="00D2146E">
              <w:rPr>
                <w:b/>
                <w:i/>
              </w:rPr>
              <w:t xml:space="preserve">марта 2019 </w:t>
            </w:r>
            <w:r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3F704EC" w:rsidR="006C03D6" w:rsidRPr="00DB7BCB" w:rsidRDefault="006C03D6" w:rsidP="00A71084">
            <w:pPr>
              <w:pStyle w:val="Tableheader"/>
              <w:widowControl w:val="0"/>
              <w:spacing w:after="120"/>
              <w:rPr>
                <w:b w:val="0"/>
                <w:snapToGrid w:val="0"/>
                <w:sz w:val="26"/>
                <w:szCs w:val="26"/>
              </w:rPr>
            </w:pPr>
            <w:r w:rsidRPr="00DB7BCB">
              <w:rPr>
                <w:b w:val="0"/>
                <w:sz w:val="26"/>
                <w:szCs w:val="26"/>
              </w:rPr>
              <w:t>«</w:t>
            </w:r>
            <w:r w:rsidR="008661EE">
              <w:rPr>
                <w:i/>
                <w:sz w:val="26"/>
                <w:szCs w:val="26"/>
              </w:rPr>
              <w:t>1</w:t>
            </w:r>
            <w:r w:rsidR="00A71084">
              <w:rPr>
                <w:i/>
                <w:sz w:val="26"/>
                <w:szCs w:val="26"/>
              </w:rPr>
              <w:t>7</w:t>
            </w:r>
            <w:r w:rsidRPr="00D2146E">
              <w:rPr>
                <w:i/>
                <w:sz w:val="26"/>
                <w:szCs w:val="26"/>
              </w:rPr>
              <w:t xml:space="preserve">» </w:t>
            </w:r>
            <w:r w:rsidR="00D2146E" w:rsidRPr="00D2146E">
              <w:rPr>
                <w:i/>
                <w:sz w:val="26"/>
                <w:szCs w:val="26"/>
              </w:rPr>
              <w:t>апреля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59A5D862" w:rsidR="00853A6E" w:rsidRPr="00853A6E" w:rsidRDefault="00EA5846" w:rsidP="00A71084">
            <w:pPr>
              <w:widowControl w:val="0"/>
              <w:tabs>
                <w:tab w:val="left" w:pos="426"/>
              </w:tabs>
              <w:spacing w:after="120"/>
              <w:rPr>
                <w:rStyle w:val="af8"/>
                <w:b w:val="0"/>
              </w:rPr>
            </w:pPr>
            <w:r w:rsidRPr="00EA5846">
              <w:rPr>
                <w:b/>
                <w:i/>
              </w:rPr>
              <w:t>«</w:t>
            </w:r>
            <w:r w:rsidR="00A71084">
              <w:rPr>
                <w:b/>
                <w:i/>
              </w:rPr>
              <w:t>21</w:t>
            </w:r>
            <w:r w:rsidRPr="00EA5846">
              <w:rPr>
                <w:b/>
                <w:i/>
              </w:rPr>
              <w:t xml:space="preserve">» </w:t>
            </w:r>
            <w:r w:rsidR="008661EE">
              <w:rPr>
                <w:b/>
                <w:i/>
              </w:rPr>
              <w:t>мая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30A54C78" w:rsidR="00D51C4F" w:rsidRPr="00C55B01" w:rsidRDefault="00AD5D76" w:rsidP="00D51C4F">
      <w:pPr>
        <w:jc w:val="center"/>
      </w:pPr>
      <w:r w:rsidRPr="00B01497">
        <w:rPr>
          <w:b/>
          <w:i/>
        </w:rPr>
        <w:t>«</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p w14:paraId="0A5207F4" w14:textId="7349D944" w:rsidR="00EC5F37" w:rsidRPr="00C55B01" w:rsidRDefault="00D51C4F" w:rsidP="00D51C4F">
      <w:pPr>
        <w:jc w:val="center"/>
      </w:pPr>
      <w:r w:rsidRPr="00C55B01">
        <w:t xml:space="preserve">(ЛОТ № </w:t>
      </w:r>
      <w:r w:rsidR="00AD5D76">
        <w:t>804</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945F0C">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945F0C">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945F0C">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945F0C">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945F0C">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945F0C">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945F0C">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945F0C">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945F0C">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945F0C">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945F0C">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945F0C">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945F0C">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945F0C">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945F0C">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945F0C">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945F0C">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945F0C">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945F0C">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945F0C">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945F0C">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945F0C">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945F0C">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945F0C">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945F0C">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945F0C">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945F0C">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945F0C">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945F0C">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945F0C">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945F0C">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945F0C">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945F0C">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945F0C">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945F0C">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945F0C">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945F0C">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945F0C">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945F0C">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945F0C">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945F0C">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945F0C">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945F0C">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945F0C">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945F0C">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945F0C">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945F0C">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945F0C">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945F0C">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945F0C">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945F0C">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945F0C">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945F0C">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945F0C">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945F0C">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945F0C">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945F0C">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945F0C">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945F0C">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945F0C">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945F0C">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945F0C">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945F0C">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945F0C">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945F0C">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945F0C">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945F0C">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945F0C">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945F0C">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945F0C">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945F0C">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945F0C">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945F0C">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945F0C">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945F0C">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945F0C">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945F0C">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945F0C">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945F0C">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945F0C">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945F0C">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945F0C">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945F0C">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945F0C">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945F0C">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945F0C">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945F0C">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945F0C">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945F0C">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945F0C">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945F0C">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945F0C">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945F0C">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945F0C">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945F0C">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945F0C">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945F0C">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945F0C">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945F0C">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945F0C">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945F0C">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945F0C">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945F0C">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945F0C">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945F0C">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945F0C">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945F0C">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945F0C">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945F0C">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945F0C">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945F0C">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945F0C">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945F0C">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945F0C">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945F0C">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945F0C">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945F0C">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945F0C">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77777777" w:rsidR="00BF2BEC" w:rsidRDefault="004010E6" w:rsidP="00BF2BEC">
            <w:pPr>
              <w:spacing w:after="120"/>
            </w:pPr>
            <w:r w:rsidRPr="008F4086">
              <w:t>Лот №</w:t>
            </w:r>
            <w:r w:rsidR="00BF2BEC">
              <w:t xml:space="preserve"> 804: </w:t>
            </w:r>
          </w:p>
          <w:p w14:paraId="7E3C544F" w14:textId="4998169C" w:rsidR="004010E6" w:rsidRPr="00BA04C6" w:rsidRDefault="00BF2BEC" w:rsidP="00BF2BEC">
            <w:pPr>
              <w:spacing w:after="120"/>
              <w:rPr>
                <w:rStyle w:val="af8"/>
                <w:b w:val="0"/>
                <w:snapToGrid/>
              </w:rPr>
            </w:pPr>
            <w:r w:rsidRPr="00B01497">
              <w:rPr>
                <w:b/>
                <w:i/>
              </w:rPr>
              <w:t>«</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5EECF28" w:rsidR="00D11474" w:rsidRPr="00BA04C6" w:rsidRDefault="004D2BE5" w:rsidP="00BA6829">
            <w:pPr>
              <w:rPr>
                <w:rStyle w:val="af8"/>
                <w:b w:val="0"/>
                <w:snapToGrid/>
              </w:rPr>
            </w:pPr>
            <w:r>
              <w:rPr>
                <w:b/>
                <w:i/>
              </w:rPr>
              <w:t xml:space="preserve">  </w:t>
            </w:r>
            <w:r w:rsidR="00BA6829">
              <w:rPr>
                <w:b/>
                <w:i/>
              </w:rPr>
              <w:t>20</w:t>
            </w:r>
            <w:r w:rsidRPr="005617BD">
              <w:rPr>
                <w:b/>
                <w:i/>
              </w:rPr>
              <w:t>.</w:t>
            </w:r>
            <w:r>
              <w:rPr>
                <w:b/>
                <w:i/>
              </w:rPr>
              <w:t>03</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F03C4C9"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D2BE5" w:rsidRPr="004D2BE5">
              <w:rPr>
                <w:rFonts w:ascii="Times New Roman" w:eastAsia="Times New Roman" w:hAnsi="Times New Roman"/>
                <w:b/>
                <w:i/>
                <w:noProof w:val="0"/>
                <w:snapToGrid w:val="0"/>
                <w:sz w:val="26"/>
                <w:lang w:eastAsia="ru-RU"/>
              </w:rPr>
              <w:t>2 492 174.36</w:t>
            </w:r>
            <w:r w:rsidRPr="004D2BE5">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6329112" w:rsidR="003135AF" w:rsidRPr="00D241CE" w:rsidRDefault="00DD2FCE" w:rsidP="004D2BE5">
            <w:pPr>
              <w:tabs>
                <w:tab w:val="left" w:pos="426"/>
              </w:tabs>
              <w:spacing w:after="120"/>
              <w:rPr>
                <w:rFonts w:eastAsia="Lucida Sans Unicode"/>
                <w:b/>
                <w:i/>
                <w:kern w:val="1"/>
                <w:shd w:val="clear" w:color="auto" w:fill="FFFF99"/>
              </w:rPr>
            </w:pPr>
            <w:r w:rsidRPr="00B6464E">
              <w:rPr>
                <w:szCs w:val="28"/>
              </w:rPr>
              <w:t xml:space="preserve"> </w:t>
            </w:r>
            <w:r w:rsidR="004D2BE5">
              <w:rPr>
                <w:szCs w:val="28"/>
              </w:rPr>
              <w:t>12 460.87</w:t>
            </w:r>
            <w:r w:rsidR="000C78B1">
              <w:rPr>
                <w:szCs w:val="28"/>
              </w:rPr>
              <w:t xml:space="preserve"> руб.</w:t>
            </w:r>
            <w:r w:rsidRPr="00B6464E">
              <w:rPr>
                <w:szCs w:val="28"/>
              </w:rPr>
              <w:t xml:space="preserve"> – </w:t>
            </w:r>
            <w:r w:rsidR="004D2BE5">
              <w:rPr>
                <w:szCs w:val="28"/>
              </w:rPr>
              <w:t>124 608.72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5E6C071" w:rsidR="00D11474" w:rsidRDefault="00D11474" w:rsidP="003A4D98">
            <w:pPr>
              <w:pStyle w:val="Tabletext"/>
              <w:spacing w:after="120"/>
              <w:rPr>
                <w:i/>
                <w:snapToGrid w:val="0"/>
                <w:sz w:val="26"/>
                <w:szCs w:val="26"/>
                <w:shd w:val="clear" w:color="auto" w:fill="FFFF99"/>
              </w:rPr>
            </w:pPr>
            <w:r w:rsidRPr="00503AA4">
              <w:rPr>
                <w:sz w:val="26"/>
                <w:szCs w:val="26"/>
              </w:rPr>
              <w:t>«</w:t>
            </w:r>
            <w:r w:rsidR="008661EE">
              <w:rPr>
                <w:sz w:val="26"/>
                <w:szCs w:val="26"/>
              </w:rPr>
              <w:t>1</w:t>
            </w:r>
            <w:r w:rsidR="00A71084">
              <w:rPr>
                <w:sz w:val="26"/>
                <w:szCs w:val="26"/>
              </w:rPr>
              <w:t>7</w:t>
            </w:r>
            <w:r w:rsidRPr="00503AA4">
              <w:rPr>
                <w:sz w:val="26"/>
                <w:szCs w:val="26"/>
              </w:rPr>
              <w:t xml:space="preserve">» </w:t>
            </w:r>
            <w:r w:rsidR="001E59EA">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6930301" w:rsidR="006058D6" w:rsidRPr="001E59EA" w:rsidRDefault="006058D6" w:rsidP="006058D6">
            <w:pPr>
              <w:spacing w:after="120"/>
              <w:rPr>
                <w:b/>
                <w:i/>
              </w:rPr>
            </w:pPr>
            <w:r w:rsidRPr="001E59EA">
              <w:rPr>
                <w:b/>
                <w:i/>
              </w:rPr>
              <w:t>«</w:t>
            </w:r>
            <w:r w:rsidR="00BA6829">
              <w:rPr>
                <w:b/>
                <w:i/>
              </w:rPr>
              <w:t>20</w:t>
            </w:r>
            <w:r w:rsidRPr="001E59EA">
              <w:rPr>
                <w:b/>
                <w:i/>
              </w:rPr>
              <w:t xml:space="preserve">» </w:t>
            </w:r>
            <w:r w:rsidR="001E59EA" w:rsidRPr="001E59EA">
              <w:rPr>
                <w:b/>
                <w:i/>
              </w:rPr>
              <w:t xml:space="preserve">марта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A44F68D" w:rsidR="00D11474" w:rsidRPr="003A4D98" w:rsidRDefault="001E59EA" w:rsidP="00A71084">
            <w:pPr>
              <w:pStyle w:val="Tabletext"/>
              <w:spacing w:after="120"/>
              <w:rPr>
                <w:rStyle w:val="af8"/>
                <w:b w:val="0"/>
                <w:i w:val="0"/>
                <w:snapToGrid w:val="0"/>
                <w:sz w:val="26"/>
                <w:szCs w:val="26"/>
                <w:shd w:val="clear" w:color="auto" w:fill="auto"/>
              </w:rPr>
            </w:pPr>
            <w:r>
              <w:rPr>
                <w:b/>
                <w:i/>
              </w:rPr>
              <w:t>«</w:t>
            </w:r>
            <w:r w:rsidR="008661EE">
              <w:rPr>
                <w:b/>
                <w:i/>
                <w:sz w:val="26"/>
                <w:szCs w:val="26"/>
              </w:rPr>
              <w:t>1</w:t>
            </w:r>
            <w:r w:rsidR="00A71084">
              <w:rPr>
                <w:b/>
                <w:i/>
                <w:sz w:val="26"/>
                <w:szCs w:val="26"/>
              </w:rPr>
              <w:t>7</w:t>
            </w:r>
            <w:r w:rsidRPr="001E59EA">
              <w:rPr>
                <w:b/>
                <w:i/>
                <w:sz w:val="26"/>
                <w:szCs w:val="26"/>
              </w:rPr>
              <w:t xml:space="preserve">» апреля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2E5D516" w:rsidR="00D11474" w:rsidRPr="00BA04C6" w:rsidRDefault="000B5CF3" w:rsidP="00A71084">
            <w:pPr>
              <w:pStyle w:val="Tabletext"/>
              <w:spacing w:after="120"/>
              <w:rPr>
                <w:sz w:val="26"/>
                <w:szCs w:val="26"/>
              </w:rPr>
            </w:pPr>
            <w:r w:rsidRPr="000B5CF3">
              <w:rPr>
                <w:b/>
                <w:i/>
                <w:snapToGrid w:val="0"/>
                <w:sz w:val="26"/>
                <w:szCs w:val="26"/>
              </w:rPr>
              <w:t>«</w:t>
            </w:r>
            <w:r w:rsidR="008661EE">
              <w:rPr>
                <w:b/>
                <w:i/>
                <w:snapToGrid w:val="0"/>
                <w:sz w:val="26"/>
                <w:szCs w:val="26"/>
              </w:rPr>
              <w:t>1</w:t>
            </w:r>
            <w:r w:rsidR="00A71084">
              <w:rPr>
                <w:b/>
                <w:i/>
                <w:snapToGrid w:val="0"/>
                <w:sz w:val="26"/>
                <w:szCs w:val="26"/>
              </w:rPr>
              <w:t>7</w:t>
            </w:r>
            <w:r w:rsidRPr="000B5CF3">
              <w:rPr>
                <w:b/>
                <w:i/>
                <w:snapToGrid w:val="0"/>
                <w:sz w:val="26"/>
                <w:szCs w:val="26"/>
              </w:rPr>
              <w:t>» </w:t>
            </w:r>
            <w:r w:rsidR="008661EE">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4299E971" w:rsidR="00C23E4D" w:rsidRPr="00BA04C6" w:rsidRDefault="000B5CF3" w:rsidP="00A71084">
            <w:pPr>
              <w:spacing w:after="120"/>
            </w:pPr>
            <w:r w:rsidRPr="000B5CF3">
              <w:rPr>
                <w:b/>
                <w:i/>
              </w:rPr>
              <w:t>«</w:t>
            </w:r>
            <w:r w:rsidR="00A71084">
              <w:rPr>
                <w:b/>
                <w:i/>
              </w:rPr>
              <w:t>21</w:t>
            </w:r>
            <w:r w:rsidRPr="000B5CF3">
              <w:rPr>
                <w:b/>
                <w:i/>
              </w:rPr>
              <w:t>» </w:t>
            </w:r>
            <w:r w:rsidR="008661EE">
              <w:rPr>
                <w:b/>
                <w:i/>
              </w:rPr>
              <w:t>мая</w:t>
            </w:r>
            <w:r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4E3A61D" w:rsidR="00D11474" w:rsidRPr="007B0C48" w:rsidRDefault="000B5CF3" w:rsidP="00A71084">
            <w:pPr>
              <w:pStyle w:val="Tabletext"/>
              <w:rPr>
                <w:i/>
                <w:snapToGrid w:val="0"/>
                <w:sz w:val="26"/>
                <w:szCs w:val="26"/>
                <w:shd w:val="clear" w:color="auto" w:fill="FFFF99"/>
              </w:rPr>
            </w:pPr>
            <w:r w:rsidRPr="000B5CF3">
              <w:rPr>
                <w:b/>
                <w:i/>
                <w:snapToGrid w:val="0"/>
                <w:sz w:val="26"/>
                <w:szCs w:val="26"/>
              </w:rPr>
              <w:t>«</w:t>
            </w:r>
            <w:r w:rsidR="00A71084">
              <w:rPr>
                <w:b/>
                <w:i/>
                <w:snapToGrid w:val="0"/>
                <w:sz w:val="26"/>
                <w:szCs w:val="26"/>
              </w:rPr>
              <w:t>24</w:t>
            </w:r>
            <w:bookmarkStart w:id="65" w:name="_GoBack"/>
            <w:bookmarkEnd w:id="65"/>
            <w:r w:rsidRPr="000B5CF3">
              <w:rPr>
                <w:b/>
                <w:i/>
                <w:snapToGrid w:val="0"/>
                <w:sz w:val="26"/>
                <w:szCs w:val="26"/>
              </w:rPr>
              <w:t>» </w:t>
            </w:r>
            <w:r w:rsidR="008661EE">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6246689"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B890B6" w14:textId="77777777" w:rsidR="00945F0C" w:rsidRDefault="00945F0C">
      <w:r>
        <w:separator/>
      </w:r>
    </w:p>
  </w:endnote>
  <w:endnote w:type="continuationSeparator" w:id="0">
    <w:p w14:paraId="34F68BF9" w14:textId="77777777" w:rsidR="00945F0C" w:rsidRDefault="00945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108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1084">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5E2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5E23">
      <w:rPr>
        <w:i/>
        <w:noProof/>
        <w:sz w:val="24"/>
        <w:szCs w:val="24"/>
      </w:rPr>
      <w:t>1</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1084">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1084">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7108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71084">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3812C3" w14:textId="77777777" w:rsidR="00945F0C" w:rsidRDefault="00945F0C">
      <w:r>
        <w:separator/>
      </w:r>
    </w:p>
  </w:footnote>
  <w:footnote w:type="continuationSeparator" w:id="0">
    <w:p w14:paraId="2DC32916" w14:textId="77777777" w:rsidR="00945F0C" w:rsidRDefault="00945F0C">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47047"/>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1EE"/>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5E23"/>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5F0C"/>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084"/>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ABA31-BB3A-41E0-A9D0-73FBF1FDB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126</Pages>
  <Words>32802</Words>
  <Characters>186975</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23</cp:revision>
  <cp:lastPrinted>2018-05-25T11:25:00Z</cp:lastPrinted>
  <dcterms:created xsi:type="dcterms:W3CDTF">2019-03-15T02:05:00Z</dcterms:created>
  <dcterms:modified xsi:type="dcterms:W3CDTF">2019-04-08T07:38:00Z</dcterms:modified>
</cp:coreProperties>
</file>