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D555D8">
        <w:rPr>
          <w:i/>
          <w:iCs/>
          <w:color w:val="0000CC"/>
        </w:rPr>
        <w:t>строительству</w:t>
      </w:r>
      <w:r w:rsidR="006D7BC7"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C946C4" w:rsidRPr="00C946C4">
        <w:rPr>
          <w:b/>
          <w:bCs/>
          <w:i/>
        </w:rPr>
        <w:t>Спасский район с. Прохоры, с. Духовское, с. Спасское, с. Васильковка</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C946C4" w:rsidRPr="00C946C4" w:rsidRDefault="00C946C4" w:rsidP="00C946C4">
      <w:pPr>
        <w:shd w:val="clear" w:color="auto" w:fill="FFFFFF"/>
        <w:ind w:firstLine="709"/>
        <w:jc w:val="both"/>
        <w:rPr>
          <w:color w:val="370FE1"/>
        </w:rPr>
      </w:pPr>
      <w:r w:rsidRPr="00C946C4">
        <w:rPr>
          <w:color w:val="370FE1"/>
        </w:rPr>
        <w:t>1.</w:t>
      </w:r>
      <w:r>
        <w:rPr>
          <w:color w:val="370FE1"/>
        </w:rPr>
        <w:t>3</w:t>
      </w:r>
      <w:r w:rsidRPr="00C946C4">
        <w:rPr>
          <w:color w:val="370FE1"/>
        </w:rPr>
        <w:t>.1.</w:t>
      </w:r>
      <w:r w:rsidRPr="00C946C4">
        <w:rPr>
          <w:color w:val="370FE1"/>
        </w:rPr>
        <w:tab/>
        <w:t>№18-2725-З от 03.07.2018 г (Хан Р.Г., Приморский край, Спасский район, с. Прохоры, примерно в 757 м на юг от жилого дома по ул.Советская,3, кад. № 25:15:020507:25),15 кВт 380В;</w:t>
      </w:r>
    </w:p>
    <w:p w:rsidR="00C946C4" w:rsidRPr="00C946C4" w:rsidRDefault="00C946C4" w:rsidP="00C946C4">
      <w:pPr>
        <w:shd w:val="clear" w:color="auto" w:fill="FFFFFF"/>
        <w:ind w:firstLine="709"/>
        <w:jc w:val="both"/>
        <w:rPr>
          <w:color w:val="370FE1"/>
        </w:rPr>
      </w:pPr>
      <w:r w:rsidRPr="00C946C4">
        <w:rPr>
          <w:color w:val="370FE1"/>
        </w:rPr>
        <w:t>1.</w:t>
      </w:r>
      <w:r>
        <w:rPr>
          <w:color w:val="370FE1"/>
        </w:rPr>
        <w:t>3</w:t>
      </w:r>
      <w:r w:rsidRPr="00C946C4">
        <w:rPr>
          <w:color w:val="370FE1"/>
        </w:rPr>
        <w:t>.2.</w:t>
      </w:r>
      <w:r w:rsidRPr="00C946C4">
        <w:rPr>
          <w:color w:val="370FE1"/>
        </w:rPr>
        <w:tab/>
        <w:t>№18-949-З от 19.03.18 (Хан В.Н., Приморский край, Спасский район, с. Спасское, примерно в 1625 м на северо-запад от ориентира, кад. № 25:16:020306:1),15 кВт 380В;</w:t>
      </w:r>
    </w:p>
    <w:p w:rsidR="00C946C4" w:rsidRPr="00C946C4" w:rsidRDefault="00C946C4" w:rsidP="00C946C4">
      <w:pPr>
        <w:shd w:val="clear" w:color="auto" w:fill="FFFFFF"/>
        <w:ind w:firstLine="709"/>
        <w:jc w:val="both"/>
        <w:rPr>
          <w:color w:val="370FE1"/>
        </w:rPr>
      </w:pPr>
      <w:r>
        <w:rPr>
          <w:color w:val="370FE1"/>
        </w:rPr>
        <w:t>1.3</w:t>
      </w:r>
      <w:r w:rsidRPr="00C946C4">
        <w:rPr>
          <w:color w:val="370FE1"/>
        </w:rPr>
        <w:t>.3.</w:t>
      </w:r>
      <w:r w:rsidRPr="00C946C4">
        <w:rPr>
          <w:color w:val="370FE1"/>
        </w:rPr>
        <w:tab/>
        <w:t>№ 18-1647-З от 23.04.2018 (Тузов А.С., Приморский край, Спасский район, с. Васильковка, примерно в 780 м на юго-восток от жилого дома по ул.Зеленая,2, кад. № 25:16:010701:266),15 кВт 380В;</w:t>
      </w:r>
    </w:p>
    <w:p w:rsidR="00C946C4" w:rsidRPr="00C946C4" w:rsidRDefault="00C946C4" w:rsidP="00C946C4">
      <w:pPr>
        <w:shd w:val="clear" w:color="auto" w:fill="FFFFFF"/>
        <w:ind w:firstLine="709"/>
        <w:jc w:val="both"/>
        <w:rPr>
          <w:color w:val="370FE1"/>
        </w:rPr>
      </w:pPr>
      <w:r w:rsidRPr="00C946C4">
        <w:rPr>
          <w:color w:val="370FE1"/>
        </w:rPr>
        <w:t>1.</w:t>
      </w:r>
      <w:r>
        <w:rPr>
          <w:color w:val="370FE1"/>
        </w:rPr>
        <w:t>3</w:t>
      </w:r>
      <w:r w:rsidRPr="00C946C4">
        <w:rPr>
          <w:color w:val="370FE1"/>
        </w:rPr>
        <w:t>.4.</w:t>
      </w:r>
      <w:r w:rsidRPr="00C946C4">
        <w:rPr>
          <w:color w:val="370FE1"/>
        </w:rPr>
        <w:tab/>
        <w:t>№ 18-1646-З от 23.04.2018 (Данчин А.К., Приморский край, Спасский рай-он, с. Васильковка, примерно в 768 м на юго-восток от жилого дома по ул.Таежная,4, кад. № 25:16:010701:268),15 кВт 380В;</w:t>
      </w:r>
    </w:p>
    <w:p w:rsidR="006D7BC7" w:rsidRDefault="00C946C4" w:rsidP="00C946C4">
      <w:pPr>
        <w:shd w:val="clear" w:color="auto" w:fill="FFFFFF"/>
        <w:ind w:firstLine="709"/>
        <w:jc w:val="both"/>
        <w:rPr>
          <w:color w:val="370FE1"/>
        </w:rPr>
      </w:pPr>
      <w:r w:rsidRPr="00C946C4">
        <w:rPr>
          <w:color w:val="370FE1"/>
        </w:rPr>
        <w:t>1.</w:t>
      </w:r>
      <w:r>
        <w:rPr>
          <w:color w:val="370FE1"/>
        </w:rPr>
        <w:t>3</w:t>
      </w:r>
      <w:r w:rsidRPr="00C946C4">
        <w:rPr>
          <w:color w:val="370FE1"/>
        </w:rPr>
        <w:t>.5.</w:t>
      </w:r>
      <w:r w:rsidRPr="00C946C4">
        <w:rPr>
          <w:color w:val="370FE1"/>
        </w:rPr>
        <w:tab/>
        <w:t>№ 18-2558-З от 21.06.2018 (Давтян Р.В., Приморский край, Спасский район, с. Духовское, примерно в 3090 м на юго-восток от нежилого здания (дом культуры) по пер. Школьный,11, кад. № 25:16:030101:45),15 кВт 380В;</w:t>
      </w:r>
    </w:p>
    <w:p w:rsidR="00C946C4" w:rsidRPr="006D7BC7" w:rsidRDefault="00C946C4" w:rsidP="00C946C4">
      <w:pPr>
        <w:shd w:val="clear" w:color="auto" w:fill="FFFFFF"/>
        <w:ind w:firstLine="709"/>
        <w:jc w:val="both"/>
        <w:rPr>
          <w:b/>
          <w:bCs/>
        </w:rPr>
      </w:pPr>
      <w:bookmarkStart w:id="0" w:name="_GoBack"/>
      <w:bookmarkEnd w:id="0"/>
    </w:p>
    <w:p w:rsidR="00880075" w:rsidRPr="00344509" w:rsidRDefault="006D7BC7" w:rsidP="006D7BC7">
      <w:pPr>
        <w:shd w:val="clear" w:color="auto" w:fill="FFFFFF"/>
        <w:jc w:val="center"/>
        <w:rPr>
          <w:b/>
          <w:bCs/>
        </w:rPr>
      </w:pPr>
      <w:r>
        <w:rPr>
          <w:b/>
          <w:bCs/>
        </w:rPr>
        <w:t xml:space="preserve">2. </w:t>
      </w:r>
      <w:r w:rsidR="00880075"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lastRenderedPageBreak/>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D7BC7"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6D7BC7" w:rsidRDefault="006D7BC7" w:rsidP="006D7BC7">
      <w:pPr>
        <w:shd w:val="clear" w:color="auto" w:fill="FFFFFF"/>
        <w:tabs>
          <w:tab w:val="left" w:pos="900"/>
          <w:tab w:val="left" w:pos="993"/>
          <w:tab w:val="left" w:pos="1276"/>
          <w:tab w:val="num" w:pos="1977"/>
        </w:tabs>
        <w:ind w:left="709"/>
        <w:jc w:val="both"/>
      </w:pPr>
    </w:p>
    <w:p w:rsidR="001F10FB" w:rsidRPr="00344509" w:rsidRDefault="001F10FB" w:rsidP="006D7BC7">
      <w:pPr>
        <w:shd w:val="clear" w:color="auto" w:fill="FFFFFF"/>
        <w:tabs>
          <w:tab w:val="left" w:pos="900"/>
          <w:tab w:val="left" w:pos="993"/>
          <w:tab w:val="left" w:pos="1276"/>
          <w:tab w:val="num" w:pos="1977"/>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w:t>
      </w:r>
      <w:r w:rsidRPr="00344509">
        <w:lastRenderedPageBreak/>
        <w:t>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w:t>
      </w:r>
      <w:r w:rsidRPr="00344509">
        <w:lastRenderedPageBreak/>
        <w:t xml:space="preserve">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подтверждение соответствия уровня ответственности по компенсационному фонду </w:t>
      </w:r>
      <w:r w:rsidRPr="00344509">
        <w:rPr>
          <w:color w:val="000000" w:themeColor="text1"/>
        </w:rPr>
        <w:lastRenderedPageBreak/>
        <w:t>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w:t>
      </w:r>
      <w:r w:rsidR="0037340F" w:rsidRPr="00344509">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w:t>
      </w:r>
      <w:r w:rsidRPr="00344509">
        <w:lastRenderedPageBreak/>
        <w:t>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w:t>
      </w:r>
      <w:r w:rsidRPr="00344509">
        <w:rPr>
          <w:bCs/>
        </w:rPr>
        <w:lastRenderedPageBreak/>
        <w:t>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Default="004C59C9" w:rsidP="00943793">
      <w:pPr>
        <w:widowControl w:val="0"/>
        <w:shd w:val="clear" w:color="auto" w:fill="FFFFFF"/>
        <w:tabs>
          <w:tab w:val="left" w:pos="953"/>
        </w:tabs>
        <w:autoSpaceDE w:val="0"/>
        <w:autoSpaceDN w:val="0"/>
        <w:adjustRightInd w:val="0"/>
        <w:rPr>
          <w:b/>
          <w:color w:val="000000"/>
        </w:rPr>
      </w:pPr>
    </w:p>
    <w:p w:rsidR="00A234B3" w:rsidRDefault="00A234B3" w:rsidP="00943793">
      <w:pPr>
        <w:widowControl w:val="0"/>
        <w:shd w:val="clear" w:color="auto" w:fill="FFFFFF"/>
        <w:tabs>
          <w:tab w:val="left" w:pos="953"/>
        </w:tabs>
        <w:autoSpaceDE w:val="0"/>
        <w:autoSpaceDN w:val="0"/>
        <w:adjustRightInd w:val="0"/>
        <w:rPr>
          <w:b/>
          <w:color w:val="000000"/>
        </w:rPr>
      </w:pPr>
    </w:p>
    <w:p w:rsidR="00A234B3" w:rsidRPr="00344509" w:rsidRDefault="00A234B3"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 xml:space="preserve">В случае отказа Подрядчика от устранения выявленных недостатков или </w:t>
      </w:r>
      <w:r w:rsidRPr="00344509">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xml:space="preserve">, последовательность разборки конструкций, а также разборки или переноса инженерных </w:t>
      </w:r>
      <w:r w:rsidR="00CD1C43" w:rsidRPr="00DE710D">
        <w:lastRenderedPageBreak/>
        <w:t>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 xml:space="preserve">является несоответствие документации требованиям законодательства Российской Федерации, </w:t>
      </w:r>
      <w:r w:rsidRPr="00344509">
        <w:lastRenderedPageBreak/>
        <w:t>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344509">
        <w:lastRenderedPageBreak/>
        <w:t>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w:t>
      </w:r>
      <w:r w:rsidRPr="00344509">
        <w:lastRenderedPageBreak/>
        <w:t xml:space="preserve">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344509">
        <w:lastRenderedPageBreak/>
        <w:t>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lastRenderedPageBreak/>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lastRenderedPageBreak/>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lastRenderedPageBreak/>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6D7BC7">
          <w:pgSz w:w="11906" w:h="16838" w:code="9"/>
          <w:pgMar w:top="567" w:right="567" w:bottom="993"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0726"/>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10FB"/>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BC7"/>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34B3"/>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46C4"/>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55D8"/>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478E"/>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F53A0"/>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DF88B-E60F-44C0-B1ED-6E7E0FE7F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32</Pages>
  <Words>14231</Words>
  <Characters>81119</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95160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41</cp:revision>
  <cp:lastPrinted>2018-07-10T05:13:00Z</cp:lastPrinted>
  <dcterms:created xsi:type="dcterms:W3CDTF">2018-03-14T01:39:00Z</dcterms:created>
  <dcterms:modified xsi:type="dcterms:W3CDTF">2019-02-24T06:43:00Z</dcterms:modified>
</cp:coreProperties>
</file>