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bCs/>
        </w:rPr>
        <w:t xml:space="preserve">Протокол</w:t>
      </w:r>
    </w:p>
    <w:p>
      <w:pPr>
        <w:jc w:val="center"/>
      </w:pPr>
      <w:r>
        <w:rPr>
          <w:b/>
          <w:bCs/>
        </w:rPr>
        <w:t xml:space="preserve">Сопоставления ценовых предложений в процедуре</w:t>
      </w:r>
    </w:p>
    <w:p>
      <w:pPr>
        <w:jc w:val="center"/>
      </w:pPr>
      <w:r>
        <w:rPr>
          <w:b/>
          <w:bCs/>
        </w:rPr>
        <w:t xml:space="preserve">31907706068</w:t>
      </w:r>
    </w:p>
    <w:p/>
    <w:tbl>
      <w:tblGrid>
        <w:gridCol w:w="5000" w:type="dxa"/>
        <w:gridCol w:w="5000" w:type="dxa"/>
      </w:tblGrid>
      <w:tr>
        <w:trPr/>
        <w:tc>
          <w:tcPr>
            <w:tcW w:w="5000" w:type="dxa"/>
          </w:tcPr>
          <w:p>
            <w:pPr/>
            <w:r>
              <w:rPr/>
              <w:t xml:space="preserve">г. Москва</w:t>
            </w:r>
          </w:p>
        </w:tc>
        <w:tc>
          <w:tcPr>
            <w:tcW w:w="5000" w:type="dxa"/>
          </w:tcPr>
          <w:p>
            <w:pPr>
              <w:jc w:val="right"/>
            </w:pPr>
            <w:r>
              <w:rPr/>
              <w:t xml:space="preserve">«26» апреля 2019г.</w:t>
            </w:r>
          </w:p>
        </w:tc>
      </w:tr>
    </w:tbl>
    <w:p>
      <w:pPr/>
      <w:br/>
      <w:r>
        <w:rPr/>
        <w:t xml:space="preserve">Заказчиком является: </w:t>
      </w:r>
      <w:r>
        <w:rPr/>
        <w:t xml:space="preserve">АКЦИОНЕРНОЕ ОБЩЕСТВО "ДАЛЬНЕВОСТОЧНАЯ РАСПРЕДЕЛИТЕЛЬНАЯ СЕТЕВАЯ КОМПАНИЯ"</w:t>
      </w:r>
      <w:br/>
      <w:r>
        <w:rPr/>
        <w:t xml:space="preserve">Способ закупки: </w:t>
      </w:r>
      <w:r>
        <w:rPr/>
        <w:t xml:space="preserve">Аукцион в электронной форме, участниками которого могут быть только субъекты малого и среднего предпринимательства</w:t>
      </w:r>
      <w:br/>
      <w:r>
        <w:rPr/>
        <w:t xml:space="preserve"/>
      </w:r>
    </w:p>
    <w:p>
      <w:pPr/>
    </w:p>
    <w:p>
      <w:pPr/>
    </w:p>
    <w:p>
      <w:pPr/>
    </w:p>
    <w:p>
      <w:pPr>
        <w:pPr>
          <w:pStyle w:val="P-Style"/>
        </w:pPr>
        <w:numPr>
          <w:ilvl w:val="0"/>
          <w:numId w:val="4"/>
        </w:numPr>
      </w:pPr>
      <w:r>
        <w:rPr>
          <w:b/>
          <w:bCs/>
        </w:rPr>
        <w:t xml:space="preserve">Наименование процедуры и предмет договора лота:</w:t>
      </w:r>
      <w:br/>
      <w:r>
        <w:rPr/>
        <w:t xml:space="preserve">Лот № 281  «Кадастровые работы для целей оформления прав землепользования под электросетевыми объектами, расположенными на территории Мазановского, Свободненского, Селемджинского, Серышевского, Шимановского районов, г. Свободный, г. Шимановск Амурской области», Кадастровые работы для целей оформления прав землепользования под электросетевыми объектами, расположенными на территории Мазановского, Свободненского, Селемджинского, Серышевского, Шимановского районов, г. Свободный, г. Шимановск Амурской области
</w:t>
      </w:r>
    </w:p>
    <w:p>
      <w:pPr/>
    </w:p>
    <w:p>
      <w:pPr>
        <w:pPr>
          <w:pStyle w:val="P-Style"/>
        </w:pPr>
        <w:numPr>
          <w:ilvl w:val="0"/>
          <w:numId w:val="4"/>
        </w:numPr>
      </w:pPr>
      <w:r>
        <w:rPr>
          <w:b/>
          <w:bCs/>
        </w:rPr>
        <w:t xml:space="preserve">Начальная (максимальная) цена договора, лота:</w:t>
      </w:r>
      <w:br/>
      <w:r>
        <w:rPr/>
        <w:t xml:space="preserve">2800000 руб. (с учетом НДС)</w:t>
      </w:r>
      <w:br/>
      <w:r>
        <w:rPr/>
        <w:t xml:space="preserve"/>
      </w:r>
    </w:p>
    <w:p>
      <w:pPr/>
    </w:p>
    <w:p>
      <w:pPr/>
    </w:p>
    <w:p>
      <w:pPr>
        <w:pPr>
          <w:pStyle w:val="P-Style"/>
        </w:pPr>
        <w:numPr>
          <w:ilvl w:val="0"/>
          <w:numId w:val="4"/>
        </w:numPr>
      </w:pPr>
      <w:r>
        <w:rPr/>
        <w:t xml:space="preserve">Извещение о проведении настоящей процедуры и документация были размещены «26» апреля 2019г. на сайте АО «Единая электронная торговая площадка» (АО «ЕЭТП»), по адресу в сети «Интернет»: https://msp.roseltorg.ru</w:t>
      </w:r>
    </w:p>
    <w:p>
      <w:pPr>
        <w:pPr>
          <w:pStyle w:val="P-Style"/>
        </w:pPr>
        <w:numPr>
          <w:ilvl w:val="0"/>
          <w:numId w:val="4"/>
        </w:numPr>
      </w:pPr>
      <w:r>
        <w:rPr/>
        <w:t xml:space="preserve">Участниками были проведены торги и по их итогам получены следующие результаты:</w:t>
      </w:r>
    </w:p>
    <w:p/>
    <w:tbl>
      <w:tblGrid>
        <w:gridCol w:w="1600" w:type="dxa"/>
        <w:gridCol w:w="2100" w:type="dxa"/>
        <w:gridCol w:w="2100" w:type="dxa"/>
        <w:gridCol w:w="2100" w:type="dxa"/>
        <w:gridCol w:w="2100" w:type="dxa"/>
      </w:tblGrid>
      <w:tblPr>
        <w:tblStyle w:val="style83860"/>
      </w:tblPr>
      <w:tr>
        <w:trPr/>
        <w:tc>
          <w:tcPr>
            <w:tcW w:w="1600" w:type="dxa"/>
            <w:vAlign w:val="center"/>
          </w:tcPr>
          <w:p>
            <w:pPr>
              <w:jc w:val="center"/>
            </w:pPr>
            <w:r>
              <w:rPr/>
              <w:t xml:space="preserve">Место заявки</w:t>
            </w:r>
          </w:p>
        </w:tc>
        <w:tc>
          <w:tcPr>
            <w:tcW w:w="2100" w:type="dxa"/>
            <w:vAlign w:val="center"/>
          </w:tcPr>
          <w:p>
            <w:pPr>
              <w:jc w:val="center"/>
            </w:pPr>
            <w:r>
              <w:rPr/>
              <w:t xml:space="preserve">№</w:t>
            </w:r>
          </w:p>
        </w:tc>
        <w:tc>
          <w:tcPr>
            <w:tcW w:w="2100" w:type="dxa"/>
            <w:vAlign w:val="center"/>
          </w:tcPr>
          <w:p>
            <w:pPr>
              <w:jc w:val="center"/>
            </w:pPr>
            <w:r>
              <w:rPr/>
              <w:t xml:space="preserve">Наименование участника</w:t>
            </w:r>
          </w:p>
        </w:tc>
        <w:tc>
          <w:tcPr>
            <w:tcW w:w="2100" w:type="dxa"/>
            <w:vAlign w:val="center"/>
          </w:tcPr>
          <w:p>
            <w:pPr>
              <w:jc w:val="center"/>
            </w:pPr>
            <w:r>
              <w:rPr>
                <w:b/>
                <w:bCs/>
              </w:rPr>
              <w:t xml:space="preserve">Ценовое предложение</w:t>
            </w:r>
          </w:p>
        </w:tc>
        <w:tc>
          <w:tcPr>
            <w:tcW w:w="2100" w:type="dxa"/>
            <w:vAlign w:val="center"/>
          </w:tcPr>
          <w:p>
            <w:pPr>
              <w:jc w:val="center"/>
            </w:pPr>
            <w:r>
              <w:rPr>
                <w:b/>
                <w:bCs/>
              </w:rPr>
              <w:t xml:space="preserve">Дата и время регистрации заявок</w:t>
            </w:r>
          </w:p>
        </w:tc>
      </w:tr>
      <w:tr>
        <w:trPr/>
        <w:tc>
          <w:tcPr>
            <w:tcW w:w="1600" w:type="dxa"/>
            <w:vAlign w:val="center"/>
          </w:tcPr>
          <w:p>
            <w:pPr>
              <w:jc w:val="center"/>
            </w:pPr>
            <w:r>
              <w:rPr/>
              <w:t xml:space="preserve">2</w:t>
            </w:r>
          </w:p>
        </w:tc>
        <w:tc>
          <w:tcPr>
            <w:tcW w:w="2100" w:type="dxa"/>
            <w:vAlign w:val="center"/>
          </w:tcPr>
          <w:p>
            <w:pPr>
              <w:jc w:val="center"/>
            </w:pPr>
            <w:r>
              <w:rPr/>
              <w:t xml:space="preserve">97636</w:t>
            </w:r>
          </w:p>
        </w:tc>
        <w:tc>
          <w:tcPr>
            <w:tcW w:w="2100" w:type="dxa"/>
            <w:vAlign w:val="center"/>
          </w:tcPr>
          <w:p>
            <w:pPr>
              <w:jc w:val="center"/>
            </w:pPr>
            <w:r>
              <w:rPr/>
              <w:t xml:space="preserve">Участник №97636</w:t>
            </w:r>
          </w:p>
        </w:tc>
        <w:tc>
          <w:tcPr>
            <w:tcW w:w="2100" w:type="dxa"/>
            <w:vAlign w:val="center"/>
          </w:tcPr>
          <w:p>
            <w:pPr>
              <w:jc w:val="center"/>
            </w:pPr>
            <w:r>
              <w:rPr/>
              <w:t xml:space="preserve">2786000</w:t>
            </w:r>
          </w:p>
        </w:tc>
        <w:tc>
          <w:tcPr>
            <w:tcW w:w="2100" w:type="dxa"/>
            <w:vAlign w:val="center"/>
          </w:tcPr>
          <w:p>
            <w:pPr>
              <w:jc w:val="center"/>
            </w:pPr>
            <w:r>
              <w:rPr/>
              <w:t xml:space="preserve">26.04.2019 04:01:30</w:t>
            </w:r>
          </w:p>
        </w:tc>
      </w:tr>
      <w:tr>
        <w:trPr/>
        <w:tc>
          <w:tcPr>
            <w:tcW w:w="1600" w:type="dxa"/>
            <w:vAlign w:val="center"/>
          </w:tcPr>
          <w:p>
            <w:pPr>
              <w:jc w:val="center"/>
            </w:pPr>
            <w:r>
              <w:rPr/>
              <w:t xml:space="preserve">1</w:t>
            </w:r>
          </w:p>
        </w:tc>
        <w:tc>
          <w:tcPr>
            <w:tcW w:w="2100" w:type="dxa"/>
            <w:vAlign w:val="center"/>
          </w:tcPr>
          <w:p>
            <w:pPr>
              <w:jc w:val="center"/>
            </w:pPr>
            <w:r>
              <w:rPr/>
              <w:t xml:space="preserve">98142</w:t>
            </w:r>
          </w:p>
        </w:tc>
        <w:tc>
          <w:tcPr>
            <w:tcW w:w="2100" w:type="dxa"/>
            <w:vAlign w:val="center"/>
          </w:tcPr>
          <w:p>
            <w:pPr>
              <w:jc w:val="center"/>
            </w:pPr>
            <w:r>
              <w:rPr/>
              <w:t xml:space="preserve">Участник №98142</w:t>
            </w:r>
          </w:p>
        </w:tc>
        <w:tc>
          <w:tcPr>
            <w:tcW w:w="2100" w:type="dxa"/>
            <w:vAlign w:val="center"/>
          </w:tcPr>
          <w:p>
            <w:pPr>
              <w:jc w:val="center"/>
            </w:pPr>
            <w:r>
              <w:rPr/>
              <w:t xml:space="preserve">2772000</w:t>
            </w:r>
          </w:p>
        </w:tc>
        <w:tc>
          <w:tcPr>
            <w:tcW w:w="2100" w:type="dxa"/>
            <w:vAlign w:val="center"/>
          </w:tcPr>
          <w:p>
            <w:pPr>
              <w:jc w:val="center"/>
            </w:pPr>
            <w:r>
              <w:rPr/>
              <w:t xml:space="preserve">26.04.2019 04:11:48</w:t>
            </w:r>
          </w:p>
        </w:tc>
      </w:tr>
    </w:tbl>
    <w:p>
      <w:pPr>
        <w:pPr>
          <w:pStyle w:val="P-Style"/>
        </w:pPr>
        <w:numPr>
          <w:ilvl w:val="0"/>
          <w:numId w:val="4"/>
        </w:numPr>
      </w:pPr>
      <w:r>
        <w:rPr/>
        <w:t xml:space="preserve">Протокол сопоставления ценовых предложений будет размещен на сайте Единой информационной системы в сфере закупок (ЕИС) по адресу в сети «Интернет»: http://zakupki.gov.ru, и на сайте АО «Единая электронная торговая площадка» (АО «ЕЭТП») по адресу в сети «Интернет»: https://msp.roseltorg.ru.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29CA3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656F2E4B"/>
    <w:multiLevelType w:val="multilevel"/>
    <w:lvl w:ilvl="0">
      <w:start w:val="1"/>
      <w:numFmt w:val="decimal"/>
      <w:suff w:val="tab"/>
      <w:lvlText w:val="%1."/>
      <w:lvlJc w:val="left"/>
      <w:pPr>
        <w:tabs>
          <w:tab w:val="num" w:pos="360"/>
        </w:tabs>
        <w:ind w:left="360" w:hanging="360"/>
      </w:pPr>
      <w:rPr>
        <w:rFonts w:ascii="" w:hAnsi="" w:cs=""/>
      </w:rPr>
    </w:lvl>
    <w:lvl w:ilvl="1">
      <w:start w:val="1"/>
      <w:numFmt w:val="decimal"/>
      <w:suff w:val="tab"/>
      <w:lvlText w:val="%1.%2."/>
      <w:lvlJc w:val="left"/>
      <w:pPr>
        <w:tabs>
          <w:tab w:val="num" w:pos="792"/>
        </w:tabs>
        <w:ind w:left="792" w:hanging="432"/>
      </w:pPr>
      <w:rPr>
        <w:rFonts w:ascii="" w:hAnsi="" w:cs=""/>
      </w:rPr>
    </w:lvl>
    <w:lvl w:ilvl="2">
      <w:start w:val="1"/>
      <w:numFmt w:val="decimal"/>
      <w:suff w:val="tab"/>
      <w:lvlText w:val="%1.%2.%3."/>
      <w:lvlJc w:val="left"/>
      <w:pPr>
        <w:tabs>
          <w:tab w:val="num" w:pos="1224"/>
        </w:tabs>
        <w:ind w:left="1224" w:hanging="504"/>
      </w:pPr>
      <w:rPr>
        <w:rFonts w:ascii="" w:hAnsi="" w:cs=""/>
      </w:rPr>
    </w:lvl>
    <w:lvl w:ilvl="3">
      <w:start w:val="1"/>
      <w:numFmt w:val="decimal"/>
      <w:suff w:val="tab"/>
      <w:lvlText w:val="%1.%2.%3.%4."/>
      <w:lvlJc w:val="left"/>
      <w:pPr>
        <w:tabs>
          <w:tab w:val="num" w:pos="1800"/>
        </w:tabs>
        <w:ind w:left="1728" w:hanging="648"/>
      </w:pPr>
      <w:rPr>
        <w:rFonts w:ascii="" w:hAnsi="" w:cs=""/>
      </w:rPr>
    </w:lvl>
    <w:lvl w:ilvl="4">
      <w:start w:val="1"/>
      <w:numFmt w:val="decimal"/>
      <w:suff w:val="tab"/>
      <w:lvlText w:val="%1.%2.%3.%4.%5."/>
      <w:lvlJc w:val="left"/>
      <w:pPr>
        <w:tabs>
          <w:tab w:val="num" w:pos="2520"/>
        </w:tabs>
        <w:ind w:left="2232" w:hanging="792"/>
      </w:pPr>
      <w:rPr>
        <w:rFonts w:ascii="" w:hAnsi="" w:cs=""/>
      </w:rPr>
    </w:lvl>
    <w:lvl w:ilvl="5">
      <w:start w:val="1"/>
      <w:numFmt w:val="decimal"/>
      <w:suff w:val="tab"/>
      <w:lvlText w:val="%1.%2.%3.%4.%5.%6."/>
      <w:lvlJc w:val="left"/>
      <w:pPr>
        <w:tabs>
          <w:tab w:val="num" w:pos="2880"/>
        </w:tabs>
        <w:ind w:left="2736" w:hanging="936"/>
      </w:pPr>
      <w:rPr>
        <w:rFonts w:ascii="" w:hAnsi="" w:cs=""/>
      </w:rPr>
    </w:lvl>
    <w:lvl w:ilvl="6">
      <w:start w:val="1"/>
      <w:numFmt w:val="decimal"/>
      <w:suff w:val="tab"/>
      <w:lvlText w:val="%1.%2.%3.%4.%5.%6.%7."/>
      <w:lvlJc w:val="left"/>
      <w:pPr>
        <w:tabs>
          <w:tab w:val="num" w:pos="3600"/>
        </w:tabs>
        <w:ind w:left="3240" w:hanging="1080"/>
      </w:pPr>
      <w:rPr>
        <w:rFonts w:ascii="" w:hAnsi="" w:cs=""/>
      </w:rPr>
    </w:lvl>
    <w:lvl w:ilvl="7">
      <w:start w:val="1"/>
      <w:numFmt w:val="decimal"/>
      <w:suff w:val="tab"/>
      <w:lvlText w:val="%1.%2.%3.%4.%5.%6.%7.%8."/>
      <w:lvlJc w:val="left"/>
      <w:pPr>
        <w:tabs>
          <w:tab w:val="num" w:pos="3960"/>
        </w:tabs>
        <w:ind w:left="3744" w:hanging="1224"/>
      </w:pPr>
      <w:rPr>
        <w:rFonts w:ascii="" w:hAnsi="" w:cs=""/>
      </w:rPr>
    </w:lvl>
    <w:lvl w:ilvl="8">
      <w:start w:val="1"/>
      <w:numFmt w:val="decimal"/>
      <w:suff w:val="tab"/>
      <w:lvlText w:val="%1.%2.%3.%4.%5.%6.%7.%8.%9."/>
      <w:lvlJc w:val="left"/>
      <w:pPr>
        <w:tabs>
          <w:tab w:val="num" w:pos="4680"/>
        </w:tabs>
        <w:ind w:left="4320" w:hanging="1440"/>
      </w:pPr>
      <w:rPr>
        <w:rFonts w:ascii="" w:hAnsi="" w:cs=""/>
      </w:rPr>
    </w:lvl>
  </w:abstract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ru-ru"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ru-ru"/>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myOwnStyle"/>
    <w:rPr>
      <w:b/>
      <w:bCs/>
    </w:rPr>
  </w:style>
  <w:style w:type="paragraph" w:customStyle="1" w:styleId="P-Style">
    <w:name w:val="P-Style"/>
    <w:basedOn w:val="Normal"/>
    <w:pPr>
      <w:spacing w:after="95"/>
    </w:pPr>
  </w:style>
  <w:style w:type="table" w:customStyle="1" w:styleId="style83860">
    <w:name w:val="style83860"/>
    <w:uiPriority w:val="99"/>
    <w:tblPr>
      <w:tblW w:w="0" w:type="auto"/>
      <w:tblLayout w:type="autofit"/>
      <w:tblBorders>
        <w:top w:val="single" w:sz="1" w:color="000000"/>
        <w:left w:val="single" w:sz="1" w:color="000000"/>
        <w:right w:val="single" w:sz="1" w:color="000000"/>
        <w:bottom w:val="single" w:sz="1" w:color="000000"/>
        <w:insideH w:val="single" w:sz="1" w:color="000000"/>
        <w:insideV w:val="single" w:sz="1"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2019-04-26T04:31:53+03:00</dcterms:created>
  <dcterms:modified xsi:type="dcterms:W3CDTF">2019-04-26T04:31:53+03:00</dcterms:modified>
</cp:coreProperties>
</file>

<file path=docProps/custom.xml><?xml version="1.0" encoding="utf-8"?>
<Properties xmlns="http://schemas.openxmlformats.org/officeDocument/2006/custom-properties" xmlns:vt="http://schemas.openxmlformats.org/officeDocument/2006/docPropsVTypes"/>
</file>