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86F00">
        <w:rPr>
          <w:b/>
          <w:bCs/>
          <w:iCs/>
          <w:snapToGrid/>
          <w:spacing w:val="40"/>
          <w:sz w:val="29"/>
          <w:szCs w:val="29"/>
        </w:rPr>
        <w:t>2</w:t>
      </w:r>
      <w:r w:rsidR="005A1823">
        <w:rPr>
          <w:b/>
          <w:bCs/>
          <w:iCs/>
          <w:snapToGrid/>
          <w:spacing w:val="40"/>
          <w:sz w:val="29"/>
          <w:szCs w:val="29"/>
        </w:rPr>
        <w:t>67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B86F00" w:rsidRPr="00B86F00" w:rsidRDefault="00BA7D6E" w:rsidP="00B86F00">
      <w:pPr>
        <w:pStyle w:val="a7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B86F00" w:rsidRPr="00B86F00">
        <w:rPr>
          <w:b/>
          <w:bCs/>
          <w:i/>
          <w:szCs w:val="28"/>
        </w:rPr>
        <w:t>«</w:t>
      </w:r>
      <w:r w:rsidR="005A1823" w:rsidRPr="005A1823">
        <w:rPr>
          <w:b/>
          <w:i/>
          <w:szCs w:val="28"/>
        </w:rPr>
        <w:t xml:space="preserve">Мероприятия по строительству и реконструкции для технологического присоединения потребителей г. Свободный к сетям 10-0,4 кВ», </w:t>
      </w:r>
      <w:r w:rsidR="005A1823" w:rsidRPr="005A1823">
        <w:rPr>
          <w:szCs w:val="28"/>
        </w:rPr>
        <w:t>закупка № 10915.</w:t>
      </w:r>
    </w:p>
    <w:p w:rsidR="003B5EFA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A18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86F0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</w:t>
            </w:r>
            <w:r w:rsidR="005A18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86F00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Pr="005A1823" w:rsidRDefault="006B14E3" w:rsidP="00F55DE2">
      <w:pPr>
        <w:pStyle w:val="a7"/>
        <w:spacing w:before="0" w:line="240" w:lineRule="auto"/>
        <w:jc w:val="center"/>
        <w:rPr>
          <w:b/>
          <w:sz w:val="26"/>
          <w:szCs w:val="26"/>
        </w:rPr>
      </w:pPr>
    </w:p>
    <w:p w:rsidR="00B86F00" w:rsidRPr="00B86F00" w:rsidRDefault="00CA7529" w:rsidP="00B86F00">
      <w:pPr>
        <w:pStyle w:val="a7"/>
        <w:spacing w:line="240" w:lineRule="auto"/>
        <w:rPr>
          <w:sz w:val="24"/>
        </w:rPr>
      </w:pPr>
      <w:r w:rsidRPr="005A1823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 xml:space="preserve">договора на </w:t>
      </w:r>
      <w:r w:rsidR="00B86F00">
        <w:rPr>
          <w:sz w:val="24"/>
        </w:rPr>
        <w:t>«</w:t>
      </w:r>
      <w:r w:rsidR="005A1823" w:rsidRPr="005A1823">
        <w:rPr>
          <w:sz w:val="24"/>
        </w:rPr>
        <w:t>Мероприятия по строительству и реконструкции для технологического присоединения потребителей г. Свободный к сетям 10-0,4 кВ», закупка № 10915.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B86F00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5A1823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5A1823" w:rsidRPr="00B86F00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06:29</w:t>
            </w:r>
          </w:p>
        </w:tc>
        <w:tc>
          <w:tcPr>
            <w:tcW w:w="4819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ПромЭлектроСтрой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2807015739/280701001 </w:t>
            </w:r>
            <w:r w:rsidRPr="00DE7DF3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2268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1823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5A1823" w:rsidRPr="00B86F00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08:34</w:t>
            </w:r>
          </w:p>
        </w:tc>
        <w:tc>
          <w:tcPr>
            <w:tcW w:w="4819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"Системы и Сети"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2801102858/280101001 </w:t>
            </w:r>
            <w:r w:rsidRPr="00DE7DF3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268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</w:tr>
      <w:tr w:rsidR="005A1823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5A1823" w:rsidRPr="00B86F00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19:58</w:t>
            </w:r>
          </w:p>
        </w:tc>
        <w:tc>
          <w:tcPr>
            <w:tcW w:w="4819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производственно-коммерческая компания "Электросервис"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6323033935/632101001 </w:t>
            </w:r>
            <w:r w:rsidRPr="00DE7DF3">
              <w:rPr>
                <w:sz w:val="26"/>
                <w:szCs w:val="26"/>
              </w:rPr>
              <w:br/>
              <w:t>ОГРН 1036301054877</w:t>
            </w:r>
          </w:p>
        </w:tc>
        <w:tc>
          <w:tcPr>
            <w:tcW w:w="2268" w:type="dxa"/>
            <w:vAlign w:val="center"/>
          </w:tcPr>
          <w:p w:rsidR="005A1823" w:rsidRPr="00DE7DF3" w:rsidRDefault="005A1823" w:rsidP="005A18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A182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A182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461F1A">
        <w:rPr>
          <w:sz w:val="24"/>
          <w:szCs w:val="24"/>
        </w:rPr>
        <w:t>о</w:t>
      </w:r>
      <w:r w:rsidRPr="00C36A4F">
        <w:rPr>
          <w:sz w:val="24"/>
          <w:szCs w:val="24"/>
        </w:rPr>
        <w:t>к</w:t>
      </w:r>
      <w:bookmarkStart w:id="2" w:name="_GoBack"/>
      <w:bookmarkEnd w:id="2"/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B86F00" w:rsidRDefault="007D6ADF" w:rsidP="00B86F0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B86F00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6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4"/>
        <w:gridCol w:w="4609"/>
        <w:gridCol w:w="2378"/>
      </w:tblGrid>
      <w:tr w:rsidR="008B782E" w:rsidRPr="008B782E" w:rsidTr="00C632AA">
        <w:trPr>
          <w:cantSplit/>
          <w:trHeight w:val="101"/>
        </w:trPr>
        <w:tc>
          <w:tcPr>
            <w:tcW w:w="85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8B782E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4" w:type="dxa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782E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09" w:type="dxa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782E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78" w:type="dxa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782E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8B782E" w:rsidRPr="008B782E" w:rsidTr="00C632AA">
        <w:trPr>
          <w:cantSplit/>
          <w:trHeight w:val="101"/>
        </w:trPr>
        <w:tc>
          <w:tcPr>
            <w:tcW w:w="85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snapToGrid/>
                <w:sz w:val="26"/>
                <w:szCs w:val="26"/>
              </w:rPr>
              <w:t>25.03.2019 06:29</w:t>
            </w:r>
          </w:p>
        </w:tc>
        <w:tc>
          <w:tcPr>
            <w:tcW w:w="4609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ПромЭлектроСтрой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2807015739/280701001 </w:t>
            </w:r>
            <w:r w:rsidRPr="008B782E">
              <w:rPr>
                <w:snapToGrid/>
                <w:sz w:val="26"/>
                <w:szCs w:val="26"/>
              </w:rPr>
              <w:br/>
              <w:t>ОГРН 1102807000559</w:t>
            </w:r>
          </w:p>
        </w:tc>
        <w:tc>
          <w:tcPr>
            <w:tcW w:w="2378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</w:tr>
      <w:tr w:rsidR="008B782E" w:rsidRPr="008B782E" w:rsidTr="00C632AA">
        <w:trPr>
          <w:cantSplit/>
          <w:trHeight w:val="101"/>
        </w:trPr>
        <w:tc>
          <w:tcPr>
            <w:tcW w:w="85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8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snapToGrid/>
                <w:sz w:val="26"/>
                <w:szCs w:val="26"/>
              </w:rPr>
              <w:t>25.03.2019 08:34</w:t>
            </w:r>
          </w:p>
        </w:tc>
        <w:tc>
          <w:tcPr>
            <w:tcW w:w="4609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"Системы и Сети"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2801102858/280101001 </w:t>
            </w:r>
            <w:r w:rsidRPr="008B782E">
              <w:rPr>
                <w:snapToGrid/>
                <w:sz w:val="26"/>
                <w:szCs w:val="26"/>
              </w:rPr>
              <w:br/>
              <w:t>ОГРН 1052800042778</w:t>
            </w:r>
          </w:p>
        </w:tc>
        <w:tc>
          <w:tcPr>
            <w:tcW w:w="2378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</w:tc>
      </w:tr>
      <w:tr w:rsidR="008B782E" w:rsidRPr="008B782E" w:rsidTr="00C632AA">
        <w:trPr>
          <w:cantSplit/>
          <w:trHeight w:val="101"/>
        </w:trPr>
        <w:tc>
          <w:tcPr>
            <w:tcW w:w="85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4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snapToGrid/>
                <w:sz w:val="26"/>
                <w:szCs w:val="26"/>
              </w:rPr>
              <w:t>25.03.2019 19:58</w:t>
            </w:r>
          </w:p>
        </w:tc>
        <w:tc>
          <w:tcPr>
            <w:tcW w:w="4609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производственно-коммерческая компания "Электросервис"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6323033935/632101001 </w:t>
            </w:r>
            <w:r w:rsidRPr="008B782E">
              <w:rPr>
                <w:snapToGrid/>
                <w:sz w:val="26"/>
                <w:szCs w:val="26"/>
              </w:rPr>
              <w:br/>
              <w:t>ОГРН 1036301054877</w:t>
            </w:r>
          </w:p>
        </w:tc>
        <w:tc>
          <w:tcPr>
            <w:tcW w:w="2378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B86F00" w:rsidRPr="00B86F00" w:rsidRDefault="00B86F00" w:rsidP="00B86F0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 xml:space="preserve">Признать заявки 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954"/>
        <w:gridCol w:w="2693"/>
      </w:tblGrid>
      <w:tr w:rsidR="00B86F00" w:rsidRPr="00B86F00" w:rsidTr="00AD68D4">
        <w:trPr>
          <w:trHeight w:val="333"/>
        </w:trPr>
        <w:tc>
          <w:tcPr>
            <w:tcW w:w="597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954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693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B782E" w:rsidRPr="00B86F00" w:rsidTr="00AD68D4">
        <w:trPr>
          <w:trHeight w:val="230"/>
        </w:trPr>
        <w:tc>
          <w:tcPr>
            <w:tcW w:w="597" w:type="dxa"/>
            <w:vAlign w:val="center"/>
          </w:tcPr>
          <w:p w:rsidR="008B782E" w:rsidRPr="00B86F00" w:rsidRDefault="008B782E" w:rsidP="008B782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8B782E" w:rsidRPr="00DE7DF3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ПромЭлектроСтрой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2807015739/280701001 </w:t>
            </w:r>
            <w:r w:rsidRPr="00DE7DF3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2693" w:type="dxa"/>
            <w:vAlign w:val="center"/>
          </w:tcPr>
          <w:p w:rsidR="008B782E" w:rsidRPr="004332CF" w:rsidRDefault="008B782E" w:rsidP="008B782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8B782E" w:rsidRPr="00B86F00" w:rsidTr="00AD68D4">
        <w:trPr>
          <w:trHeight w:val="230"/>
        </w:trPr>
        <w:tc>
          <w:tcPr>
            <w:tcW w:w="597" w:type="dxa"/>
            <w:vAlign w:val="center"/>
          </w:tcPr>
          <w:p w:rsidR="008B782E" w:rsidRPr="00B86F00" w:rsidRDefault="008B782E" w:rsidP="008B782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8B782E" w:rsidRPr="00DE7DF3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"Системы и Сети"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2801102858/280101001 </w:t>
            </w:r>
            <w:r w:rsidRPr="00DE7DF3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693" w:type="dxa"/>
            <w:vAlign w:val="center"/>
          </w:tcPr>
          <w:p w:rsidR="008B782E" w:rsidRPr="004332CF" w:rsidRDefault="008B782E" w:rsidP="008B782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8B782E" w:rsidRPr="00B86F00" w:rsidTr="00AD68D4">
        <w:trPr>
          <w:trHeight w:val="230"/>
        </w:trPr>
        <w:tc>
          <w:tcPr>
            <w:tcW w:w="597" w:type="dxa"/>
            <w:vAlign w:val="center"/>
          </w:tcPr>
          <w:p w:rsidR="008B782E" w:rsidRPr="00B86F00" w:rsidRDefault="008B782E" w:rsidP="008B782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8B782E" w:rsidRPr="00DE7DF3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производственно-коммерческая компания "Электросервис"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6323033935/632101001 </w:t>
            </w:r>
            <w:r w:rsidRPr="00DE7DF3">
              <w:rPr>
                <w:sz w:val="26"/>
                <w:szCs w:val="26"/>
              </w:rPr>
              <w:br/>
              <w:t>ОГРН 1036301054877</w:t>
            </w:r>
          </w:p>
        </w:tc>
        <w:tc>
          <w:tcPr>
            <w:tcW w:w="2693" w:type="dxa"/>
            <w:vAlign w:val="center"/>
          </w:tcPr>
          <w:p w:rsidR="008B782E" w:rsidRPr="004332CF" w:rsidRDefault="008B782E" w:rsidP="008B782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B86F00" w:rsidRPr="00B86F00" w:rsidRDefault="00B86F00" w:rsidP="00B86F0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B86F00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napToGrid/>
          <w:sz w:val="24"/>
          <w:szCs w:val="24"/>
        </w:rPr>
        <w:t>.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>Провести переторжку;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8B782E">
        <w:rPr>
          <w:rFonts w:eastAsia="MS Mincho"/>
          <w:b/>
          <w:i/>
          <w:snapToGrid/>
          <w:sz w:val="24"/>
          <w:szCs w:val="24"/>
        </w:rPr>
        <w:t>цена заявки</w:t>
      </w:r>
      <w:r w:rsidRPr="008B782E">
        <w:rPr>
          <w:rFonts w:eastAsia="MS Mincho"/>
          <w:snapToGrid/>
          <w:sz w:val="24"/>
          <w:szCs w:val="24"/>
        </w:rPr>
        <w:t xml:space="preserve">. 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8B782E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8B782E" w:rsidRPr="008B782E" w:rsidTr="00C632AA">
        <w:trPr>
          <w:trHeight w:val="427"/>
          <w:tblHeader/>
        </w:trPr>
        <w:tc>
          <w:tcPr>
            <w:tcW w:w="652" w:type="dxa"/>
            <w:vAlign w:val="center"/>
          </w:tcPr>
          <w:p w:rsidR="008B782E" w:rsidRPr="008B782E" w:rsidRDefault="008B782E" w:rsidP="008B782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B782E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8B782E" w:rsidRPr="008B782E" w:rsidRDefault="008B782E" w:rsidP="008B782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B782E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8B782E" w:rsidRPr="008B782E" w:rsidRDefault="008B782E" w:rsidP="008B782E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B782E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8B782E" w:rsidRPr="008B782E" w:rsidRDefault="008B782E" w:rsidP="008B782E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B782E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8B782E" w:rsidRPr="008B782E" w:rsidRDefault="008B782E" w:rsidP="008B782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B782E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8B782E" w:rsidRPr="008B782E" w:rsidTr="00C632AA">
        <w:trPr>
          <w:trHeight w:val="385"/>
        </w:trPr>
        <w:tc>
          <w:tcPr>
            <w:tcW w:w="652" w:type="dxa"/>
            <w:vAlign w:val="center"/>
          </w:tcPr>
          <w:p w:rsidR="008B782E" w:rsidRPr="008B782E" w:rsidRDefault="008B782E" w:rsidP="008B782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ПромЭлектроСтрой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2807015739/280701001 </w:t>
            </w:r>
            <w:r w:rsidRPr="008B782E">
              <w:rPr>
                <w:snapToGrid/>
                <w:sz w:val="26"/>
                <w:szCs w:val="26"/>
              </w:rPr>
              <w:br/>
              <w:t>ОГРН 1102807000559</w:t>
            </w:r>
          </w:p>
        </w:tc>
        <w:tc>
          <w:tcPr>
            <w:tcW w:w="2132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8B782E" w:rsidRPr="008B782E" w:rsidTr="00C632AA">
        <w:trPr>
          <w:trHeight w:val="385"/>
        </w:trPr>
        <w:tc>
          <w:tcPr>
            <w:tcW w:w="652" w:type="dxa"/>
            <w:vAlign w:val="center"/>
          </w:tcPr>
          <w:p w:rsidR="008B782E" w:rsidRPr="008B782E" w:rsidRDefault="008B782E" w:rsidP="008B782E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"Системы и Сети"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2801102858/280101001 </w:t>
            </w:r>
            <w:r w:rsidRPr="008B782E">
              <w:rPr>
                <w:snapToGrid/>
                <w:sz w:val="26"/>
                <w:szCs w:val="26"/>
              </w:rPr>
              <w:br/>
              <w:t>ОГРН 1052800042778</w:t>
            </w:r>
          </w:p>
        </w:tc>
        <w:tc>
          <w:tcPr>
            <w:tcW w:w="2132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</w:tc>
        <w:tc>
          <w:tcPr>
            <w:tcW w:w="1956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8B782E" w:rsidRPr="008B782E" w:rsidTr="00C632AA">
        <w:trPr>
          <w:trHeight w:val="385"/>
        </w:trPr>
        <w:tc>
          <w:tcPr>
            <w:tcW w:w="652" w:type="dxa"/>
            <w:vAlign w:val="center"/>
          </w:tcPr>
          <w:p w:rsidR="008B782E" w:rsidRPr="008B782E" w:rsidRDefault="008B782E" w:rsidP="008B782E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ООО производственно-коммерческая компания "Электросервис"</w:t>
            </w:r>
            <w:r w:rsidRPr="008B782E">
              <w:rPr>
                <w:snapToGrid/>
                <w:sz w:val="26"/>
                <w:szCs w:val="26"/>
              </w:rPr>
              <w:t xml:space="preserve"> </w:t>
            </w:r>
            <w:r w:rsidRPr="008B782E">
              <w:rPr>
                <w:snapToGrid/>
                <w:sz w:val="26"/>
                <w:szCs w:val="26"/>
              </w:rPr>
              <w:br/>
              <w:t xml:space="preserve">ИНН/КПП 6323033935/632101001 </w:t>
            </w:r>
            <w:r w:rsidRPr="008B782E">
              <w:rPr>
                <w:snapToGrid/>
                <w:sz w:val="26"/>
                <w:szCs w:val="26"/>
              </w:rPr>
              <w:br/>
              <w:t>ОГРН 1036301054877</w:t>
            </w:r>
          </w:p>
        </w:tc>
        <w:tc>
          <w:tcPr>
            <w:tcW w:w="2132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782E">
              <w:rPr>
                <w:b/>
                <w:i/>
                <w:snapToGrid/>
                <w:sz w:val="26"/>
                <w:szCs w:val="26"/>
              </w:rPr>
              <w:t>7 356 813,35</w:t>
            </w:r>
          </w:p>
        </w:tc>
        <w:tc>
          <w:tcPr>
            <w:tcW w:w="1956" w:type="dxa"/>
            <w:vAlign w:val="center"/>
          </w:tcPr>
          <w:p w:rsidR="008B782E" w:rsidRPr="008B782E" w:rsidRDefault="008B782E" w:rsidP="008B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B782E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8B782E">
        <w:rPr>
          <w:rFonts w:eastAsia="MS Mincho"/>
          <w:b/>
          <w:i/>
          <w:snapToGrid/>
          <w:sz w:val="24"/>
          <w:szCs w:val="24"/>
        </w:rPr>
        <w:t>очная;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>Назначить переторжку на 18.04.2019 г. в 15:00 час. (амурского времени);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lastRenderedPageBreak/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B782E" w:rsidRPr="008B782E" w:rsidRDefault="008B782E" w:rsidP="008B782E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B782E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C0D59" w:rsidRPr="00DA65EC" w:rsidRDefault="003C0D5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B6" w:rsidRDefault="00D26DB6" w:rsidP="00355095">
      <w:pPr>
        <w:spacing w:line="240" w:lineRule="auto"/>
      </w:pPr>
      <w:r>
        <w:separator/>
      </w:r>
    </w:p>
  </w:endnote>
  <w:endnote w:type="continuationSeparator" w:id="0">
    <w:p w:rsidR="00D26DB6" w:rsidRDefault="00D26D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F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F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B6" w:rsidRDefault="00D26DB6" w:rsidP="00355095">
      <w:pPr>
        <w:spacing w:line="240" w:lineRule="auto"/>
      </w:pPr>
      <w:r>
        <w:separator/>
      </w:r>
    </w:p>
  </w:footnote>
  <w:footnote w:type="continuationSeparator" w:id="0">
    <w:p w:rsidR="00D26DB6" w:rsidRDefault="00D26D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B86F00">
      <w:rPr>
        <w:i/>
        <w:sz w:val="20"/>
      </w:rPr>
      <w:t xml:space="preserve"> 109</w:t>
    </w:r>
    <w:r w:rsidR="008B782E">
      <w:rPr>
        <w:i/>
        <w:sz w:val="20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1D3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0D5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F4E"/>
    <w:rsid w:val="00445432"/>
    <w:rsid w:val="0045381B"/>
    <w:rsid w:val="00456E12"/>
    <w:rsid w:val="00461F1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10E9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1823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124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419"/>
    <w:rsid w:val="008B4E73"/>
    <w:rsid w:val="008B782E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6F00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26DB6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22F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7F64-9275-41EC-B183-060FA1B8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2019-04-12T04:36:00Z</cp:lastPrinted>
  <dcterms:created xsi:type="dcterms:W3CDTF">2018-02-01T00:38:00Z</dcterms:created>
  <dcterms:modified xsi:type="dcterms:W3CDTF">2019-04-12T05:23:00Z</dcterms:modified>
</cp:coreProperties>
</file>