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D6" w:rsidRPr="00AC6BD2" w:rsidRDefault="00C870D6" w:rsidP="00C870D6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№2</w:t>
      </w:r>
    </w:p>
    <w:p w:rsidR="00C870D6" w:rsidRPr="00AC6BD2" w:rsidRDefault="00C870D6" w:rsidP="00C870D6">
      <w:pPr>
        <w:spacing w:line="240" w:lineRule="auto"/>
        <w:ind w:firstLine="0"/>
        <w:jc w:val="left"/>
      </w:pPr>
    </w:p>
    <w:p w:rsidR="00C870D6" w:rsidRDefault="00C870D6" w:rsidP="00C870D6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>Приморские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:rsidR="00EC5F37" w:rsidRPr="00AC6BD2" w:rsidRDefault="00C870D6" w:rsidP="00C870D6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4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666"/>
        <w:gridCol w:w="2845"/>
        <w:gridCol w:w="9639"/>
        <w:gridCol w:w="1069"/>
      </w:tblGrid>
      <w:tr w:rsidR="00CC3DFC" w:rsidTr="00C870D6">
        <w:trPr>
          <w:trHeight w:val="37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DFC" w:rsidRDefault="00CC3DFC" w:rsidP="00CC3DFC">
            <w:pPr>
              <w:keepNext/>
              <w:snapToGrid w:val="0"/>
              <w:spacing w:before="40" w:after="40" w:line="240" w:lineRule="auto"/>
              <w:ind w:left="3423" w:right="57" w:hanging="33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3DFC" w:rsidRDefault="00CC3DFC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3DFC" w:rsidRDefault="00C870D6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C3DFC" w:rsidRDefault="00260406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CC3DFC">
              <w:rPr>
                <w:sz w:val="20"/>
              </w:rPr>
              <w:t>ндикатор скрытой проводки "ПОИСК"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ЭИ3007М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7A01C4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6C035C">
              <w:rPr>
                <w:sz w:val="20"/>
              </w:rPr>
              <w:t>Предназначен</w:t>
            </w:r>
            <w:proofErr w:type="gramEnd"/>
            <w:r w:rsidRPr="006C035C">
              <w:rPr>
                <w:sz w:val="20"/>
              </w:rPr>
              <w:t xml:space="preserve"> для поиска скрытых под слоем штукатурки, деревянными панелями токовых цепей (фазного провода) 220В переменного тока частотой 50Гц в жилых домах и других коммунально-бытовых зданиях</w:t>
            </w:r>
            <w:r>
              <w:rPr>
                <w:sz w:val="20"/>
              </w:rPr>
              <w:t xml:space="preserve"> и </w:t>
            </w:r>
            <w:r w:rsidRPr="006C035C">
              <w:rPr>
                <w:sz w:val="20"/>
              </w:rPr>
              <w:t xml:space="preserve">сооружениях. </w:t>
            </w:r>
          </w:p>
          <w:p w:rsidR="00260406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C035C">
              <w:rPr>
                <w:sz w:val="20"/>
              </w:rPr>
              <w:t>Обеспечивает обнаружение провода под напряжением, расположенного на расстоянии до 1м (при максимальной чувствительности). Точность обнаружения - ± 2,5см (при минимальной чувствительности). Нахождение провода отмечается световым и звуковым сигналом. В схему включен полосовой фильтр 45-65Гц, обеспечивающий более точное нахождение скрытого (замаскированного) провода. В качестве источника электропитания использован элемент питания “Крона”. Условия эксплуатации: температура от -10оС до +45оС, относительная влажность воздуха 80% при +25оС. Габаритные размеры - 205х47х20мм, масса 0,15кг.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C3DFC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Сигнализатор напряжения</w:t>
            </w:r>
          </w:p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СНИКМ 6-10кВ</w:t>
            </w:r>
          </w:p>
          <w:p w:rsidR="00215EFD" w:rsidRDefault="00215EFD" w:rsidP="00CC3DFC">
            <w:pPr>
              <w:ind w:firstLine="0"/>
              <w:rPr>
                <w:sz w:val="20"/>
              </w:rPr>
            </w:pPr>
          </w:p>
          <w:p w:rsidR="00215EFD" w:rsidRPr="00CC3DFC" w:rsidRDefault="00215EFD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5E1DAF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Сигнализатор СНИКМ-6-10 предназначен для дистанционного контроля наличия опасного напряжения с целью предотвращения поражения электрическим током персонала, обслуживающего </w:t>
            </w:r>
            <w:proofErr w:type="gramStart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ВЛ</w:t>
            </w:r>
            <w:proofErr w:type="gramEnd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6-10 </w:t>
            </w:r>
            <w:proofErr w:type="spellStart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кВ</w:t>
            </w:r>
            <w:proofErr w:type="spellEnd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с кронштейном крепления к каске. </w:t>
            </w:r>
          </w:p>
          <w:p w:rsidR="00260406" w:rsidRPr="005E1DAF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Чувствительность сигнализатора (дистанция срабатывания) – расстояние между сигнализатором, закрепленным на каске, одетой на голову электромонтера и ближайшим проводом, находящимся под напряжением, при котором возникает прерывистый </w:t>
            </w:r>
            <w:proofErr w:type="gramStart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свето-звуковой</w:t>
            </w:r>
            <w:proofErr w:type="gramEnd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сигнал. При напряжении линии 6 – 10 </w:t>
            </w:r>
            <w:proofErr w:type="spellStart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кВ</w:t>
            </w:r>
            <w:proofErr w:type="spellEnd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дистанция срабатывания составляет не более 2м и не менее 0.6 м.</w:t>
            </w:r>
            <w:r w:rsidRPr="005E1DAF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5E1DAF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Технические характеристики</w:t>
            </w:r>
          </w:p>
          <w:p w:rsidR="00260406" w:rsidRPr="005E1DAF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Напряжение, В 3</w:t>
            </w:r>
            <w:r w:rsidRPr="005E1DAF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5E1DAF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Масса, </w:t>
            </w:r>
            <w:proofErr w:type="gramStart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кг</w:t>
            </w:r>
            <w:proofErr w:type="gramEnd"/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0,08 </w:t>
            </w:r>
          </w:p>
          <w:p w:rsidR="00260406" w:rsidRPr="005E1DAF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Габаритные размеры 62 х 45 х 35</w:t>
            </w:r>
            <w:r w:rsidRPr="005E1DAF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5E1DAF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Допустимый диапазон рабочих температур от - 45 до + 45</w:t>
            </w:r>
            <w:r w:rsidRPr="005E1DAF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Default="00260406" w:rsidP="005E1DAF">
            <w:pPr>
              <w:tabs>
                <w:tab w:val="right" w:pos="6588"/>
              </w:tabs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E1DAF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Относительная влажность воздуха при 25°С 98%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Сигнализатор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напряжения индивидуальный касочный СНИК 6-10кВ</w:t>
            </w:r>
          </w:p>
          <w:p w:rsidR="00215EFD" w:rsidRDefault="00215EFD" w:rsidP="00CC3DFC">
            <w:pPr>
              <w:ind w:firstLine="0"/>
              <w:rPr>
                <w:sz w:val="20"/>
              </w:rPr>
            </w:pPr>
          </w:p>
          <w:p w:rsidR="00215EFD" w:rsidRPr="00CC3DFC" w:rsidRDefault="00215EFD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C035C">
              <w:rPr>
                <w:sz w:val="20"/>
              </w:rPr>
              <w:t>Сигнализатор напряжения предназначен для предупреждения персонала, работающего на воздушных линиях электропередач (</w:t>
            </w:r>
            <w:proofErr w:type="gramStart"/>
            <w:r w:rsidRPr="006C035C">
              <w:rPr>
                <w:sz w:val="20"/>
              </w:rPr>
              <w:t>ВЛ</w:t>
            </w:r>
            <w:proofErr w:type="gramEnd"/>
            <w:r w:rsidRPr="006C035C">
              <w:rPr>
                <w:sz w:val="20"/>
              </w:rPr>
              <w:t xml:space="preserve">) о нахождении в потенциально опасной зоне из-за приближения к проводам и мачтовым трансформаторным подстанциям, находящимся под напряжением 6-10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, на опасное расстояние. Наличие напряжения индицируется прерывистым звуковым сигналом. Включение сигнализатора осуществляется магнитным ключом, который одновременно является кронштейном для крепления сигнализатора к каске. Для выключения сигнализатора необходимо вынуть магнитный ключ.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поле. Имеет режим самоконтроля. Обладает динамической чувствительностью (увеличение частоты звуковых импульсов при приближении к проводам, находящимся под напряжением).                                                                                           </w:t>
            </w:r>
            <w:r w:rsidRPr="006C035C">
              <w:rPr>
                <w:sz w:val="20"/>
              </w:rPr>
              <w:br/>
              <w:t xml:space="preserve">Номинальное напряжение электроустановки,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 6÷10. Ток потребления в режиме безопасного состояния, не более, мА 0,02. Ток потребления в режимах высокого напряжения и неисправности, не более, мА 2,2. </w:t>
            </w:r>
            <w:r w:rsidRPr="006C035C">
              <w:rPr>
                <w:sz w:val="20"/>
              </w:rPr>
              <w:lastRenderedPageBreak/>
              <w:t xml:space="preserve">Расстояние сигнализации при напряжении 6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, не менее, 2 м. Ёмкость встроенного источника питания, не менее, мА х ч 1800. Непрерывная работа при рабочей температуре + 250 С в режиме безопасного состояния 10 лет. Непрерывная работа при рабочей температуре + 250 С в режиме высокого напряжения 1 месяц. Средний срок службы до замены источника питания 6-8 лет. Количество щелчков режима безопасного состояния за 10 сек., не менее 2. Количество звуковых импульсов режима высокого напряжения за 10 сек, в диапазоне не шире 16–35. Масса сигнализатора, не более, 100 г. Габариты корпуса, не более, </w:t>
            </w:r>
            <w:proofErr w:type="gramStart"/>
            <w:r w:rsidRPr="006C035C">
              <w:rPr>
                <w:sz w:val="20"/>
              </w:rPr>
              <w:t>мм</w:t>
            </w:r>
            <w:proofErr w:type="gramEnd"/>
            <w:r w:rsidRPr="006C035C">
              <w:rPr>
                <w:sz w:val="20"/>
              </w:rPr>
              <w:t xml:space="preserve"> 67 х 53 х 30. Рабочий диапазон температур от -40 до +40.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 w:rsidP="00A35898">
            <w:pPr>
              <w:ind w:firstLine="34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    </w:t>
            </w:r>
            <w:r w:rsidR="00260406">
              <w:rPr>
                <w:sz w:val="20"/>
              </w:rPr>
              <w:t>11</w:t>
            </w:r>
            <w:r>
              <w:rPr>
                <w:sz w:val="20"/>
              </w:rPr>
              <w:t>0</w:t>
            </w:r>
          </w:p>
        </w:tc>
      </w:tr>
      <w:tr w:rsidR="00260406" w:rsidTr="00C870D6">
        <w:trPr>
          <w:trHeight w:val="59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 xml:space="preserve">Указатель высокого напряжения УВНКС-10 СЗ 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86369" w:rsidRDefault="00260406" w:rsidP="005F0628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C86369">
              <w:rPr>
                <w:sz w:val="20"/>
              </w:rPr>
              <w:t>Указатель высокого напряжения УВНКС-10 СЗ предназначен: для определения наличи</w:t>
            </w:r>
            <w:proofErr w:type="gramStart"/>
            <w:r w:rsidRPr="00C86369">
              <w:rPr>
                <w:sz w:val="20"/>
              </w:rPr>
              <w:t>я(</w:t>
            </w:r>
            <w:proofErr w:type="gramEnd"/>
            <w:r w:rsidRPr="00C86369">
              <w:rPr>
                <w:sz w:val="20"/>
              </w:rPr>
              <w:t xml:space="preserve">отсутствия) напряжения как основное средство защиты на электроустановках 10 </w:t>
            </w:r>
            <w:proofErr w:type="spellStart"/>
            <w:r w:rsidRPr="00C86369">
              <w:rPr>
                <w:sz w:val="20"/>
              </w:rPr>
              <w:t>кВ.</w:t>
            </w:r>
            <w:proofErr w:type="spellEnd"/>
            <w:r w:rsidRPr="00C86369">
              <w:rPr>
                <w:sz w:val="20"/>
              </w:rPr>
              <w:t xml:space="preserve"> Дополнительной функцией указателя является наличие встроенного бесконтактного сигнализатора напряжения для контроля наличия высокого напряжения с земли на ВЛ 10 </w:t>
            </w:r>
            <w:proofErr w:type="spellStart"/>
            <w:r w:rsidRPr="00C86369">
              <w:rPr>
                <w:sz w:val="20"/>
              </w:rPr>
              <w:t>кВ.</w:t>
            </w:r>
            <w:proofErr w:type="spellEnd"/>
            <w:r w:rsidRPr="00C86369">
              <w:rPr>
                <w:sz w:val="20"/>
              </w:rPr>
              <w:t xml:space="preserve"> Указатель относится к основным электрозащитным средствам, применяемым обслуживающим и ремонтным персоналам электрических станций, подстанций и </w:t>
            </w:r>
            <w:proofErr w:type="spellStart"/>
            <w:r w:rsidRPr="00C86369">
              <w:rPr>
                <w:sz w:val="20"/>
              </w:rPr>
              <w:t>распредсетей</w:t>
            </w:r>
            <w:proofErr w:type="spellEnd"/>
            <w:r w:rsidRPr="00C86369">
              <w:rPr>
                <w:sz w:val="20"/>
              </w:rPr>
              <w:t xml:space="preserve">. Отличительной особенностью указателя УВНКС-10 СЗ является наличие 2-х независимых электронных схем, а также дополнительной функцией указателя является наличие встроенного бесконтактного сигнализатора напряжения для контроля наличия высокого напряжения с земли на </w:t>
            </w:r>
            <w:proofErr w:type="gramStart"/>
            <w:r w:rsidRPr="00C86369">
              <w:rPr>
                <w:sz w:val="20"/>
              </w:rPr>
              <w:t>ВЛ</w:t>
            </w:r>
            <w:proofErr w:type="gramEnd"/>
            <w:r w:rsidRPr="00C86369">
              <w:rPr>
                <w:sz w:val="20"/>
              </w:rPr>
              <w:t xml:space="preserve"> 10 </w:t>
            </w:r>
            <w:proofErr w:type="spellStart"/>
            <w:r w:rsidRPr="00C86369">
              <w:rPr>
                <w:sz w:val="20"/>
              </w:rPr>
              <w:t>кВ.</w:t>
            </w:r>
            <w:proofErr w:type="spellEnd"/>
            <w:r w:rsidRPr="00C86369">
              <w:rPr>
                <w:sz w:val="20"/>
              </w:rPr>
              <w:t xml:space="preserve"> основная схема - имеет литиевый элемент питания, громкий звук, 2 ярких красных светодиода и встроенную схему проверки исправности; резервная схема - не </w:t>
            </w:r>
            <w:proofErr w:type="gramStart"/>
            <w:r w:rsidRPr="00C86369">
              <w:rPr>
                <w:sz w:val="20"/>
              </w:rPr>
              <w:t>имеет гальванических источников питания и берет</w:t>
            </w:r>
            <w:proofErr w:type="gramEnd"/>
            <w:r w:rsidRPr="00C86369">
              <w:rPr>
                <w:sz w:val="20"/>
              </w:rPr>
              <w:t xml:space="preserve"> энергию для работы одного красного светодиода от емкостного тока. Эта схема является резервной для подстраховки основной схемы с элементом питания, а также с помощью данной схемы можно сделать вывод - одинаково ли напряжение на всех 3-х фазах</w:t>
            </w:r>
            <w:proofErr w:type="gramStart"/>
            <w:r w:rsidRPr="00C86369">
              <w:rPr>
                <w:sz w:val="20"/>
              </w:rPr>
              <w:t>.</w:t>
            </w:r>
            <w:proofErr w:type="gramEnd"/>
            <w:r w:rsidRPr="00C86369">
              <w:rPr>
                <w:sz w:val="20"/>
              </w:rPr>
              <w:t xml:space="preserve"> (</w:t>
            </w:r>
            <w:proofErr w:type="gramStart"/>
            <w:r w:rsidRPr="00C86369">
              <w:rPr>
                <w:sz w:val="20"/>
              </w:rPr>
              <w:t>н</w:t>
            </w:r>
            <w:proofErr w:type="gramEnd"/>
            <w:r w:rsidRPr="00C86369">
              <w:rPr>
                <w:sz w:val="20"/>
              </w:rPr>
              <w:t xml:space="preserve">ет ли однофазного замыкания на землю); режим сигнализатора – работает от элемента питания основной схемы, имеет громкий звук, один желтый светодиод и встроенную схему проверки исправности. Указатель эксплуатируется при температуре окружающего воздуха от минус 45 до плюс 40 </w:t>
            </w:r>
            <w:proofErr w:type="spellStart"/>
            <w:proofErr w:type="gramStart"/>
            <w:r w:rsidRPr="00C86369">
              <w:rPr>
                <w:sz w:val="20"/>
              </w:rPr>
              <w:t>o</w:t>
            </w:r>
            <w:proofErr w:type="gramEnd"/>
            <w:r w:rsidRPr="00C86369">
              <w:rPr>
                <w:sz w:val="20"/>
              </w:rPr>
              <w:t>С</w:t>
            </w:r>
            <w:proofErr w:type="spellEnd"/>
            <w:r w:rsidRPr="00C86369">
              <w:rPr>
                <w:sz w:val="20"/>
              </w:rPr>
              <w:t xml:space="preserve"> и относительной влажности воздуха до 95% при температуре плюс 25oС. Наименование параметров Значение параметров Номинальное напряжение электроустановки, </w:t>
            </w:r>
            <w:proofErr w:type="spellStart"/>
            <w:r w:rsidRPr="00C86369">
              <w:rPr>
                <w:sz w:val="20"/>
              </w:rPr>
              <w:t>кВ</w:t>
            </w:r>
            <w:proofErr w:type="spellEnd"/>
            <w:r w:rsidRPr="00C86369">
              <w:rPr>
                <w:sz w:val="20"/>
              </w:rPr>
              <w:t xml:space="preserve"> 6-10 Напряжение индикации, </w:t>
            </w:r>
            <w:proofErr w:type="spellStart"/>
            <w:r w:rsidRPr="00C86369">
              <w:rPr>
                <w:sz w:val="20"/>
              </w:rPr>
              <w:t>кВ</w:t>
            </w:r>
            <w:proofErr w:type="spellEnd"/>
            <w:r w:rsidRPr="00C86369">
              <w:rPr>
                <w:sz w:val="20"/>
              </w:rPr>
              <w:t>, не более 1,5 Габаритные размеры штанги указателя, не менее, мм длина 750 рукоятка 110 изолирующая часть 230 Масса указателя без упаковки не более, кг 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86369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УВН-10-110СЗ</w:t>
            </w:r>
          </w:p>
          <w:p w:rsidR="0023567C" w:rsidRDefault="0023567C" w:rsidP="00C86369">
            <w:pPr>
              <w:ind w:firstLine="0"/>
              <w:rPr>
                <w:sz w:val="20"/>
              </w:rPr>
            </w:pPr>
          </w:p>
          <w:p w:rsidR="0023567C" w:rsidRPr="00CC3DFC" w:rsidRDefault="0023567C" w:rsidP="00C86369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Указатель для контроля напряжения в электроустановках </w:t>
            </w:r>
            <w:r w:rsidRPr="00C86369">
              <w:rPr>
                <w:sz w:val="20"/>
              </w:rPr>
              <w:t xml:space="preserve"> 10-110 </w:t>
            </w:r>
            <w:proofErr w:type="spellStart"/>
            <w:r w:rsidRPr="00C86369">
              <w:rPr>
                <w:sz w:val="20"/>
              </w:rPr>
              <w:t>кВ</w:t>
            </w:r>
            <w:proofErr w:type="spellEnd"/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-5 лет работы без замены элемента питания Индикация необходимости замены элемента питания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-Работоспособность при температуре окружающей среды до -40°С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-Функция (кнопка) самоконтроля и индикация включения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-Индикация необходимости замены источника питания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-Нулевое потребление энергии от источника питания при транспортировке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-Замена элемента питания без вскрытия корпуса изделия Малые транспортировочные габариты (при транспортировке рабочая часть завинчивается)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-Эффективный </w:t>
            </w:r>
            <w:proofErr w:type="spellStart"/>
            <w:r w:rsidRPr="00C86369">
              <w:rPr>
                <w:sz w:val="20"/>
              </w:rPr>
              <w:t>затенитель</w:t>
            </w:r>
            <w:proofErr w:type="spellEnd"/>
            <w:r w:rsidRPr="00C86369">
              <w:rPr>
                <w:sz w:val="20"/>
              </w:rPr>
              <w:t>.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-Конструкция указателя позволяет проводить работы в труднодоступных местах.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Напряжение индикации указателя, </w:t>
            </w:r>
            <w:proofErr w:type="spellStart"/>
            <w:r w:rsidRPr="00C86369">
              <w:rPr>
                <w:sz w:val="20"/>
              </w:rPr>
              <w:t>кВ</w:t>
            </w:r>
            <w:proofErr w:type="spellEnd"/>
            <w:r w:rsidRPr="00C86369">
              <w:rPr>
                <w:sz w:val="20"/>
              </w:rPr>
              <w:t>, не более 2.5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Источник питания, В 3, (1х CR123)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Частота звуковой индикации, </w:t>
            </w:r>
            <w:proofErr w:type="gramStart"/>
            <w:r w:rsidRPr="00C86369">
              <w:rPr>
                <w:sz w:val="20"/>
              </w:rPr>
              <w:t>Гц</w:t>
            </w:r>
            <w:proofErr w:type="gramEnd"/>
            <w:r w:rsidRPr="00C86369">
              <w:rPr>
                <w:sz w:val="20"/>
              </w:rPr>
              <w:t xml:space="preserve"> 3500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Частота прерывания, </w:t>
            </w:r>
            <w:proofErr w:type="gramStart"/>
            <w:r w:rsidRPr="00C86369">
              <w:rPr>
                <w:sz w:val="20"/>
              </w:rPr>
              <w:t>Гц</w:t>
            </w:r>
            <w:proofErr w:type="gramEnd"/>
            <w:r w:rsidRPr="00C86369">
              <w:rPr>
                <w:sz w:val="20"/>
              </w:rPr>
              <w:t xml:space="preserve"> 1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Время появления первого сигнала, сек., не более 1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Громкость звукового сигнала, дБ, не менее 70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Длина рукоятки,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650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Длина изолирующей части,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>, не менее 1450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lastRenderedPageBreak/>
              <w:t>Условия эксплуатации: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C86369">
              <w:rPr>
                <w:sz w:val="20"/>
              </w:rPr>
              <w:t>температура</w:t>
            </w:r>
            <w:proofErr w:type="gramStart"/>
            <w:r w:rsidRPr="00C86369">
              <w:rPr>
                <w:sz w:val="20"/>
              </w:rPr>
              <w:t>,о</w:t>
            </w:r>
            <w:proofErr w:type="gramEnd"/>
            <w:r w:rsidRPr="00C86369">
              <w:rPr>
                <w:sz w:val="20"/>
              </w:rPr>
              <w:t>С</w:t>
            </w:r>
            <w:proofErr w:type="spellEnd"/>
            <w:r w:rsidRPr="00C86369">
              <w:rPr>
                <w:sz w:val="20"/>
              </w:rPr>
              <w:t xml:space="preserve"> от - 40 до + 45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влажность при 25 </w:t>
            </w:r>
            <w:proofErr w:type="spellStart"/>
            <w:r w:rsidRPr="00C86369">
              <w:rPr>
                <w:sz w:val="20"/>
              </w:rPr>
              <w:t>оС</w:t>
            </w:r>
            <w:proofErr w:type="spellEnd"/>
            <w:r w:rsidRPr="00C86369">
              <w:rPr>
                <w:sz w:val="20"/>
              </w:rPr>
              <w:t>, % 98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Габаритные размеры,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не более 2380х80х80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Габаритные размеры в упаковке,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2250х110х80</w:t>
            </w:r>
          </w:p>
          <w:p w:rsidR="00260406" w:rsidRPr="007A01C4" w:rsidRDefault="00260406" w:rsidP="00C86369">
            <w:pPr>
              <w:snapToGrid w:val="0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C86369">
              <w:rPr>
                <w:sz w:val="20"/>
              </w:rPr>
              <w:t xml:space="preserve">Масса (в упаковке), </w:t>
            </w:r>
            <w:proofErr w:type="gramStart"/>
            <w:r w:rsidRPr="00C86369">
              <w:rPr>
                <w:sz w:val="20"/>
              </w:rPr>
              <w:t>кг</w:t>
            </w:r>
            <w:proofErr w:type="gramEnd"/>
            <w:r w:rsidRPr="00C86369">
              <w:rPr>
                <w:sz w:val="20"/>
              </w:rPr>
              <w:t xml:space="preserve"> 1.45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 </w:t>
            </w:r>
            <w:r w:rsidRPr="00CC3DFC">
              <w:rPr>
                <w:sz w:val="20"/>
              </w:rPr>
              <w:t>УВН-10СЗ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proofErr w:type="gramStart"/>
            <w:r w:rsidRPr="0036351D">
              <w:rPr>
                <w:color w:val="000000" w:themeColor="text1"/>
                <w:sz w:val="20"/>
              </w:rPr>
              <w:t>Предназначен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 для контроля напряжения в электроустановках 2-10кВ переменного тока промышленной частоты. Указатель относится к основным электрозащитным средствам, работает при непосредственном прикосновении к токоведущим частям (контактным способом). Наличие напряжения индицируется с помощью светодиодов повышенной яркости, за счет протекании емкостного тока. Указатель обеспечивает визуальную индикацию во всех режимах работы.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Указатель выполнен в корпусе из полиэтиленового материала с высокой механической и диэлектрической прочностью с герметизацией внутренних полостей, содержащих элементы электрической схемы. Состоит    рабочей (индикаторной) и изолирующей части с резьбовым соединением.  Имеет режим самопроверки работоспособности.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>Климатические условия эксплуатации: температура окружающего воздуха от -300С до +400С, относительная влажность не выше 98% при 250С.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номинальное напряжение, </w:t>
            </w:r>
            <w:proofErr w:type="spellStart"/>
            <w:r w:rsidRPr="0036351D">
              <w:rPr>
                <w:color w:val="000000" w:themeColor="text1"/>
                <w:sz w:val="20"/>
              </w:rPr>
              <w:t>кВ</w:t>
            </w:r>
            <w:proofErr w:type="spellEnd"/>
            <w:r w:rsidRPr="0036351D">
              <w:rPr>
                <w:color w:val="000000" w:themeColor="text1"/>
                <w:sz w:val="20"/>
              </w:rPr>
              <w:t xml:space="preserve">  2 — 10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>— минимальное напряжение срабатывания индикации</w:t>
            </w:r>
            <w:proofErr w:type="gramStart"/>
            <w:r w:rsidRPr="0036351D">
              <w:rPr>
                <w:color w:val="000000" w:themeColor="text1"/>
                <w:sz w:val="20"/>
              </w:rPr>
              <w:t xml:space="preserve">   В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более  500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напряжение источника питания, В  1,5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ток, потребляемый от источника питания   мА, не более  7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 длина изолирующей части 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230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длина рукоятки  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130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рабочая длина  в сборе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750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транспортная упаковка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  400х230 </w:t>
            </w:r>
          </w:p>
          <w:p w:rsidR="00260406" w:rsidRPr="007A01C4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36351D">
              <w:rPr>
                <w:color w:val="000000" w:themeColor="text1"/>
                <w:sz w:val="20"/>
              </w:rPr>
              <w:t xml:space="preserve">— вес указателя   </w:t>
            </w:r>
            <w:proofErr w:type="gramStart"/>
            <w:r w:rsidRPr="0036351D">
              <w:rPr>
                <w:color w:val="000000" w:themeColor="text1"/>
                <w:sz w:val="20"/>
              </w:rPr>
              <w:t>кг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 не </w:t>
            </w:r>
            <w:proofErr w:type="spellStart"/>
            <w:r w:rsidRPr="0036351D">
              <w:rPr>
                <w:color w:val="000000" w:themeColor="text1"/>
                <w:sz w:val="20"/>
              </w:rPr>
              <w:t>бплее</w:t>
            </w:r>
            <w:proofErr w:type="spellEnd"/>
            <w:r w:rsidRPr="0036351D">
              <w:rPr>
                <w:color w:val="000000" w:themeColor="text1"/>
                <w:sz w:val="20"/>
              </w:rPr>
              <w:t xml:space="preserve">  0,4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 </w:t>
            </w:r>
            <w:r w:rsidRPr="00CC3DFC">
              <w:rPr>
                <w:sz w:val="20"/>
              </w:rPr>
              <w:t>УВН-6-35СЗ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36351D" w:rsidRDefault="00260406" w:rsidP="004B6A06">
            <w:pPr>
              <w:shd w:val="clear" w:color="auto" w:fill="FFFFFF" w:themeFill="background1"/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proofErr w:type="gramStart"/>
            <w:r w:rsidRPr="0036351D">
              <w:rPr>
                <w:sz w:val="20"/>
                <w:shd w:val="clear" w:color="auto" w:fill="FFFFFF" w:themeFill="background1"/>
              </w:rPr>
              <w:t xml:space="preserve">Указатель высокого напряжения УВН-6-35 СЗ ИП 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от 6 до 35 </w:t>
            </w:r>
            <w:proofErr w:type="spellStart"/>
            <w:r w:rsidRPr="0036351D">
              <w:rPr>
                <w:sz w:val="20"/>
                <w:shd w:val="clear" w:color="auto" w:fill="FFFFFF" w:themeFill="background1"/>
              </w:rPr>
              <w:t>кВ</w:t>
            </w:r>
            <w:proofErr w:type="spellEnd"/>
            <w:r w:rsidRPr="0036351D">
              <w:rPr>
                <w:sz w:val="20"/>
                <w:shd w:val="clear" w:color="auto" w:fill="FFFFFF" w:themeFill="background1"/>
              </w:rPr>
              <w:t>,</w:t>
            </w:r>
            <w:r w:rsidRPr="0036351D">
              <w:rPr>
                <w:sz w:val="20"/>
                <w:shd w:val="clear" w:color="auto" w:fill="FFFF99"/>
              </w:rPr>
              <w:t xml:space="preserve"> </w:t>
            </w:r>
            <w:r w:rsidRPr="0036351D">
              <w:rPr>
                <w:sz w:val="20"/>
                <w:shd w:val="clear" w:color="auto" w:fill="FFFFFF" w:themeFill="background1"/>
              </w:rPr>
              <w:t xml:space="preserve">частотой 50 и 60 Гц, при температуре </w:t>
            </w:r>
            <w:r w:rsidRPr="005E1DAF">
              <w:rPr>
                <w:sz w:val="20"/>
                <w:shd w:val="clear" w:color="auto" w:fill="FFFFFF" w:themeFill="background1"/>
              </w:rPr>
              <w:t>от – 45°С до +40°С и относительной влажности воздуха не выше 98% (при температуре +25°С).</w:t>
            </w:r>
            <w:proofErr w:type="gramEnd"/>
          </w:p>
          <w:p w:rsidR="00260406" w:rsidRPr="004B6A06" w:rsidRDefault="00260406" w:rsidP="004B6A06">
            <w:pPr>
              <w:shd w:val="clear" w:color="auto" w:fill="FFFFFF" w:themeFill="background1"/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r w:rsidRPr="005E1DAF">
              <w:rPr>
                <w:sz w:val="20"/>
                <w:shd w:val="clear" w:color="auto" w:fill="FFFFFF" w:themeFill="background1"/>
              </w:rPr>
              <w:t xml:space="preserve">Указатель УВН-6-35 СЗ ИП относится к основным электрозащитным средствам, позволяет произвести </w:t>
            </w:r>
            <w:proofErr w:type="spellStart"/>
            <w:r w:rsidRPr="005E1DAF">
              <w:rPr>
                <w:sz w:val="20"/>
                <w:shd w:val="clear" w:color="auto" w:fill="FFFFFF" w:themeFill="background1"/>
              </w:rPr>
              <w:t>пофазное</w:t>
            </w:r>
            <w:proofErr w:type="spellEnd"/>
            <w:r w:rsidRPr="005E1DAF">
              <w:rPr>
                <w:sz w:val="20"/>
                <w:shd w:val="clear" w:color="auto" w:fill="FFFFFF" w:themeFill="background1"/>
              </w:rPr>
              <w:t xml:space="preserve"> определение напряжения касанием токоведущих частей, а также определить опасное напряжение на деревянных опорах без </w:t>
            </w:r>
            <w:proofErr w:type="gramStart"/>
            <w:r w:rsidRPr="005E1DAF">
              <w:rPr>
                <w:sz w:val="20"/>
                <w:shd w:val="clear" w:color="auto" w:fill="FFFFFF" w:themeFill="background1"/>
              </w:rPr>
              <w:t>применения</w:t>
            </w:r>
            <w:proofErr w:type="gramEnd"/>
            <w:r w:rsidRPr="005E1DAF">
              <w:rPr>
                <w:sz w:val="20"/>
                <w:shd w:val="clear" w:color="auto" w:fill="FFFFFF" w:themeFill="background1"/>
              </w:rPr>
              <w:t xml:space="preserve"> заземляющего тросика, а в комплекте со штангой ШО-10-4-6,6 длиной 6,6м и весом не более 4,3 кг с земли без подъема на опору ВЛ.</w:t>
            </w:r>
          </w:p>
          <w:p w:rsidR="00260406" w:rsidRPr="004B6A06" w:rsidRDefault="00260406" w:rsidP="004B6A06">
            <w:pPr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r w:rsidRPr="004B6A06">
              <w:rPr>
                <w:color w:val="000000" w:themeColor="text1"/>
                <w:sz w:val="20"/>
              </w:rPr>
              <w:t>Имеет режим самопроверки работоспособности.</w:t>
            </w:r>
          </w:p>
          <w:p w:rsidR="00260406" w:rsidRPr="004B6A06" w:rsidRDefault="00260406" w:rsidP="004B6A06">
            <w:pPr>
              <w:spacing w:line="240" w:lineRule="auto"/>
              <w:ind w:firstLine="0"/>
              <w:rPr>
                <w:b/>
                <w:bCs/>
                <w:sz w:val="20"/>
                <w:shd w:val="clear" w:color="auto" w:fill="FFFF99"/>
              </w:rPr>
            </w:pPr>
            <w:r w:rsidRPr="004B6A06">
              <w:rPr>
                <w:b/>
                <w:bCs/>
                <w:sz w:val="20"/>
                <w:shd w:val="clear" w:color="auto" w:fill="FFFFFF" w:themeFill="background1"/>
              </w:rPr>
              <w:t>Технические характеристики</w:t>
            </w:r>
          </w:p>
          <w:tbl>
            <w:tblPr>
              <w:tblW w:w="5000" w:type="pct"/>
              <w:shd w:val="clear" w:color="auto" w:fill="FFFFFF" w:themeFill="background1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22"/>
              <w:gridCol w:w="2801"/>
            </w:tblGrid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 xml:space="preserve">Напряжение, </w:t>
                  </w:r>
                  <w:proofErr w:type="spellStart"/>
                  <w:r w:rsidRPr="004B6A06">
                    <w:rPr>
                      <w:sz w:val="20"/>
                      <w:shd w:val="clear" w:color="auto" w:fill="FFFF99"/>
                    </w:rPr>
                    <w:t>кВ</w:t>
                  </w:r>
                  <w:proofErr w:type="spellEnd"/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35</w:t>
                  </w:r>
                </w:p>
              </w:tc>
            </w:tr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Контактно-бесконтактный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Да</w:t>
                  </w:r>
                </w:p>
              </w:tc>
            </w:tr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 xml:space="preserve">Масса, </w:t>
                  </w:r>
                  <w:proofErr w:type="gramStart"/>
                  <w:r w:rsidRPr="004B6A06">
                    <w:rPr>
                      <w:sz w:val="20"/>
                      <w:shd w:val="clear" w:color="auto" w:fill="FFFF99"/>
                    </w:rPr>
                    <w:t>кг</w:t>
                  </w:r>
                  <w:proofErr w:type="gramEnd"/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0,65</w:t>
                  </w:r>
                </w:p>
              </w:tc>
            </w:tr>
            <w:tr w:rsidR="00260406" w:rsidRPr="00B301FF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4B6A06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Габаритные размеры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B301FF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4B6A06">
                    <w:rPr>
                      <w:sz w:val="20"/>
                      <w:shd w:val="clear" w:color="auto" w:fill="FFFF99"/>
                    </w:rPr>
                    <w:t>Ф72 х 1070</w:t>
                  </w:r>
                </w:p>
              </w:tc>
            </w:tr>
          </w:tbl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УНК-04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85651">
              <w:rPr>
                <w:sz w:val="20"/>
              </w:rPr>
              <w:lastRenderedPageBreak/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 из </w:t>
            </w:r>
            <w:r w:rsidRPr="00E85651">
              <w:rPr>
                <w:sz w:val="20"/>
              </w:rPr>
              <w:lastRenderedPageBreak/>
              <w:t>ударопрочного полистирола.  Условия эксплуатации:  температура от -45°С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>, мА, не более: 10</w:t>
            </w:r>
            <w:r w:rsidRPr="00E85651">
              <w:rPr>
                <w:sz w:val="20"/>
              </w:rPr>
              <w:br/>
              <w:t>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</w:t>
            </w:r>
            <w:r w:rsidRPr="00E85651">
              <w:rPr>
                <w:sz w:val="20"/>
              </w:rPr>
              <w:br/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выполнен из ударопрочного полистирола.  Условия эксплуатации:  температура от -45°С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мА, не более: 10  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</w:t>
            </w:r>
            <w:proofErr w:type="gramStart"/>
            <w:r w:rsidRPr="00E85651">
              <w:rPr>
                <w:sz w:val="20"/>
              </w:rPr>
              <w:t xml:space="preserve">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  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 xml:space="preserve">УНН-1 СЗ </w:t>
            </w:r>
            <w:proofErr w:type="gramStart"/>
            <w:r w:rsidRPr="00CC3DFC">
              <w:rPr>
                <w:sz w:val="20"/>
              </w:rPr>
              <w:t>ВЛ</w:t>
            </w:r>
            <w:proofErr w:type="gramEnd"/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656C9">
              <w:rPr>
                <w:sz w:val="20"/>
              </w:rPr>
              <w:t xml:space="preserve">Указатель напряжения типа УНН-1СЗ </w:t>
            </w:r>
            <w:proofErr w:type="gramStart"/>
            <w:r w:rsidRPr="006656C9">
              <w:rPr>
                <w:sz w:val="20"/>
              </w:rPr>
              <w:t>ВЛ</w:t>
            </w:r>
            <w:proofErr w:type="gramEnd"/>
            <w:r w:rsidRPr="006656C9">
              <w:rPr>
                <w:sz w:val="20"/>
              </w:rPr>
              <w:t xml:space="preserve"> предназначен для проверки наличия или </w:t>
            </w:r>
            <w:proofErr w:type="spellStart"/>
            <w:r w:rsidRPr="006656C9">
              <w:rPr>
                <w:sz w:val="20"/>
              </w:rPr>
              <w:t>отсутсвия</w:t>
            </w:r>
            <w:proofErr w:type="spellEnd"/>
            <w:r w:rsidRPr="006656C9">
              <w:rPr>
                <w:sz w:val="20"/>
              </w:rPr>
              <w:t xml:space="preserve"> напряжения на линиях электропередач до 0,6 </w:t>
            </w:r>
            <w:proofErr w:type="spellStart"/>
            <w:r w:rsidRPr="006656C9">
              <w:rPr>
                <w:sz w:val="20"/>
              </w:rPr>
              <w:t>кВ</w:t>
            </w:r>
            <w:proofErr w:type="spellEnd"/>
            <w:r w:rsidRPr="006656C9">
              <w:rPr>
                <w:sz w:val="20"/>
              </w:rPr>
              <w:t xml:space="preserve"> частотой 50 Гц. а в комплекте с двумя штангами ШО-10-4-6,6 длиной 6,6 м, с земли без подъема на опору.</w:t>
            </w:r>
            <w:r w:rsidRPr="006656C9">
              <w:rPr>
                <w:sz w:val="20"/>
              </w:rPr>
              <w:br/>
              <w:t>Условия эксплуатации У, по ГОСТ 15150-69 (температура от + 40°С до – 45°С и относительная влажность 80% при 25°С</w:t>
            </w:r>
            <w:proofErr w:type="gramStart"/>
            <w:r w:rsidRPr="006656C9">
              <w:rPr>
                <w:sz w:val="20"/>
              </w:rPr>
              <w:t xml:space="preserve"> )</w:t>
            </w:r>
            <w:proofErr w:type="gramEnd"/>
            <w:r w:rsidRPr="006656C9">
              <w:rPr>
                <w:sz w:val="20"/>
              </w:rPr>
              <w:t xml:space="preserve">.  Номинальное напряжение электроустановки, </w:t>
            </w:r>
            <w:proofErr w:type="spellStart"/>
            <w:r w:rsidRPr="006656C9">
              <w:rPr>
                <w:sz w:val="20"/>
              </w:rPr>
              <w:t>кВ</w:t>
            </w:r>
            <w:proofErr w:type="spellEnd"/>
            <w:r w:rsidRPr="006656C9">
              <w:rPr>
                <w:sz w:val="20"/>
              </w:rPr>
              <w:t xml:space="preserve"> 0,6  Напряжение срабатывания, </w:t>
            </w:r>
            <w:proofErr w:type="gramStart"/>
            <w:r w:rsidRPr="006656C9">
              <w:rPr>
                <w:sz w:val="20"/>
              </w:rPr>
              <w:t>В</w:t>
            </w:r>
            <w:proofErr w:type="gramEnd"/>
            <w:r w:rsidRPr="006656C9">
              <w:rPr>
                <w:sz w:val="20"/>
              </w:rPr>
              <w:t xml:space="preserve">, не более 50  </w:t>
            </w:r>
            <w:proofErr w:type="gramStart"/>
            <w:r w:rsidRPr="006656C9">
              <w:rPr>
                <w:sz w:val="20"/>
              </w:rPr>
              <w:t>Величина</w:t>
            </w:r>
            <w:proofErr w:type="gramEnd"/>
            <w:r w:rsidRPr="006656C9">
              <w:rPr>
                <w:sz w:val="20"/>
              </w:rPr>
              <w:t xml:space="preserve"> рабочего тока, мА, не более 9  Габаритные размеры корпуса, мм 780 x 72  Длина соединительного провода, мм, не более 1200  Масса, кг, не более 1,1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УННО-1СЗ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Предназначен для контроля напряжения в электроустановках и на воздушных линиях электропередачи (ВЛ) до 1000</w:t>
            </w:r>
            <w:proofErr w:type="gramStart"/>
            <w:r w:rsidRPr="00F663F3">
              <w:rPr>
                <w:sz w:val="20"/>
              </w:rPr>
              <w:t xml:space="preserve"> В</w:t>
            </w:r>
            <w:proofErr w:type="gramEnd"/>
            <w:r w:rsidRPr="00F663F3">
              <w:rPr>
                <w:sz w:val="20"/>
              </w:rPr>
              <w:t xml:space="preserve"> переменного тока частотой 50 Гц. Климатические условия эксплуатации: температура окружающего воздуха от -300С до +400С, относительная влажность не выше 98% при 250С.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Технические характеристики: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диапазон рабочего напряжения, В 24 … 690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напряжение индикации, не более, В 24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напряжение источника питания, В 3 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ток, потребляемый от источника питания, мА 50 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длина неизолированной части наконечника не более, </w:t>
            </w:r>
            <w:proofErr w:type="gramStart"/>
            <w:r w:rsidRPr="00F663F3">
              <w:rPr>
                <w:sz w:val="20"/>
              </w:rPr>
              <w:t>мм</w:t>
            </w:r>
            <w:proofErr w:type="gramEnd"/>
            <w:r w:rsidRPr="00F663F3">
              <w:rPr>
                <w:sz w:val="20"/>
              </w:rPr>
              <w:t xml:space="preserve"> 7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 ограничительные упоры высотой не менее, </w:t>
            </w:r>
            <w:proofErr w:type="gramStart"/>
            <w:r w:rsidRPr="00F663F3">
              <w:rPr>
                <w:sz w:val="20"/>
              </w:rPr>
              <w:t>мм</w:t>
            </w:r>
            <w:proofErr w:type="gramEnd"/>
            <w:r w:rsidRPr="00F663F3">
              <w:rPr>
                <w:sz w:val="20"/>
              </w:rPr>
              <w:t xml:space="preserve"> 12 </w:t>
            </w:r>
          </w:p>
          <w:p w:rsidR="00260406" w:rsidRDefault="00260406" w:rsidP="00F663F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663F3">
              <w:rPr>
                <w:sz w:val="20"/>
              </w:rPr>
              <w:t>габаритные размеры, мм170х380масса, не более, кг</w:t>
            </w:r>
            <w:proofErr w:type="gramStart"/>
            <w:r w:rsidRPr="00F663F3">
              <w:rPr>
                <w:sz w:val="20"/>
              </w:rPr>
              <w:t>0</w:t>
            </w:r>
            <w:proofErr w:type="gramEnd"/>
            <w:r w:rsidRPr="00F663F3">
              <w:rPr>
                <w:sz w:val="20"/>
              </w:rPr>
              <w:t>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 w:rsidP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УННУ-1ВЛ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36351D">
            <w:pPr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0"/>
              </w:rPr>
              <w:t>И</w:t>
            </w:r>
            <w:r w:rsidRPr="006656C9">
              <w:rPr>
                <w:sz w:val="20"/>
              </w:rPr>
              <w:t xml:space="preserve">спользуется для определения наличия или </w:t>
            </w:r>
            <w:proofErr w:type="spellStart"/>
            <w:r w:rsidRPr="006656C9">
              <w:rPr>
                <w:sz w:val="20"/>
              </w:rPr>
              <w:t>отсутсвия</w:t>
            </w:r>
            <w:proofErr w:type="spellEnd"/>
            <w:r w:rsidRPr="006656C9">
              <w:rPr>
                <w:sz w:val="20"/>
              </w:rPr>
              <w:t xml:space="preserve"> напряжения на линиях электропередач от 24 до 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постоянного и переменного тока промышленной частоты 50 Гц.  Указатель УННУ-1Н-ВЛ может определить полярность постоянного тока, при этом свечение светодиода у знаков «+» или </w:t>
            </w:r>
            <w:proofErr w:type="gramStart"/>
            <w:r w:rsidRPr="006656C9">
              <w:rPr>
                <w:sz w:val="20"/>
              </w:rPr>
              <w:t>«-</w:t>
            </w:r>
            <w:proofErr w:type="gramEnd"/>
            <w:r w:rsidRPr="006656C9">
              <w:rPr>
                <w:sz w:val="20"/>
              </w:rPr>
              <w:t xml:space="preserve">» указывает на полярность данной линии.   При </w:t>
            </w:r>
            <w:r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прове</w:t>
            </w:r>
            <w:r>
              <w:rPr>
                <w:sz w:val="20"/>
              </w:rPr>
              <w:t>р</w:t>
            </w:r>
            <w:r w:rsidRPr="006656C9">
              <w:rPr>
                <w:sz w:val="20"/>
              </w:rPr>
              <w:t xml:space="preserve">ке напряжения переменного тока светятся оба светодиода УННУ-1Н-ВЛ.  </w:t>
            </w:r>
            <w:r w:rsidRPr="006656C9">
              <w:rPr>
                <w:sz w:val="20"/>
              </w:rPr>
              <w:lastRenderedPageBreak/>
              <w:t>Условия эксплуатации У</w:t>
            </w:r>
            <w:proofErr w:type="gramStart"/>
            <w:r w:rsidRPr="006656C9">
              <w:rPr>
                <w:sz w:val="20"/>
              </w:rPr>
              <w:t>1</w:t>
            </w:r>
            <w:proofErr w:type="gramEnd"/>
            <w:r w:rsidRPr="006656C9">
              <w:rPr>
                <w:sz w:val="20"/>
              </w:rPr>
              <w:t xml:space="preserve"> по ГОСТ 15150-69 (температура от -45°С до 40°С и относительной влажности воздуха не выше 80% (при + 25°С).  Диапазон рабочего напряжения 24-1000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 Напряжение индикации 24 В  Длина соединительного провода не менее 1 м 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 xml:space="preserve">Указатель напряжения 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УННУ-1Н Ф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6351D">
              <w:rPr>
                <w:sz w:val="20"/>
              </w:rPr>
              <w:t xml:space="preserve">Указатель предназначен для проверки наличия или отсутствия напряжения в электроустановках постоянного и переменного тока от 6 до 10 </w:t>
            </w:r>
            <w:proofErr w:type="spellStart"/>
            <w:r w:rsidRPr="0036351D">
              <w:rPr>
                <w:sz w:val="20"/>
              </w:rPr>
              <w:t>кВ</w:t>
            </w:r>
            <w:proofErr w:type="spellEnd"/>
            <w:r w:rsidRPr="0036351D">
              <w:rPr>
                <w:sz w:val="20"/>
              </w:rPr>
              <w:t xml:space="preserve"> частотой 50 или 60 Гц. Принцип работы указателя основан на срабатывании светозвукового устройства при протекании емкостного тока. Диапазон рабочего напряжения, </w:t>
            </w:r>
            <w:proofErr w:type="spellStart"/>
            <w:r w:rsidRPr="0036351D">
              <w:rPr>
                <w:sz w:val="20"/>
              </w:rPr>
              <w:t>кВ</w:t>
            </w:r>
            <w:proofErr w:type="spellEnd"/>
            <w:r w:rsidRPr="0036351D">
              <w:rPr>
                <w:sz w:val="20"/>
              </w:rPr>
              <w:t>: 6-10. Напряжение индикации</w:t>
            </w:r>
            <w:proofErr w:type="gramStart"/>
            <w:r w:rsidRPr="0036351D">
              <w:rPr>
                <w:sz w:val="20"/>
              </w:rPr>
              <w:t xml:space="preserve"> ,</w:t>
            </w:r>
            <w:proofErr w:type="gramEnd"/>
            <w:r w:rsidRPr="0036351D">
              <w:rPr>
                <w:sz w:val="20"/>
              </w:rPr>
              <w:t xml:space="preserve"> </w:t>
            </w:r>
            <w:proofErr w:type="spellStart"/>
            <w:r w:rsidRPr="0036351D">
              <w:rPr>
                <w:sz w:val="20"/>
              </w:rPr>
              <w:t>кВ</w:t>
            </w:r>
            <w:proofErr w:type="spellEnd"/>
            <w:r w:rsidRPr="0036351D">
              <w:rPr>
                <w:sz w:val="20"/>
              </w:rPr>
              <w:t>: 1,5.</w:t>
            </w:r>
            <w:r w:rsidRPr="0036351D">
              <w:rPr>
                <w:sz w:val="20"/>
              </w:rPr>
              <w:br/>
              <w:t xml:space="preserve">Источник питания, В: 6 (2xCR2450). Длина рукоятки, </w:t>
            </w:r>
            <w:proofErr w:type="gramStart"/>
            <w:r w:rsidRPr="0036351D">
              <w:rPr>
                <w:sz w:val="20"/>
              </w:rPr>
              <w:t>мм</w:t>
            </w:r>
            <w:proofErr w:type="gramEnd"/>
            <w:r w:rsidRPr="0036351D">
              <w:rPr>
                <w:sz w:val="20"/>
              </w:rPr>
              <w:t xml:space="preserve">: 120. Длина изолирующей части, </w:t>
            </w:r>
            <w:proofErr w:type="gramStart"/>
            <w:r w:rsidRPr="0036351D">
              <w:rPr>
                <w:sz w:val="20"/>
              </w:rPr>
              <w:t>мм</w:t>
            </w:r>
            <w:proofErr w:type="gramEnd"/>
            <w:r w:rsidRPr="0036351D">
              <w:rPr>
                <w:sz w:val="20"/>
              </w:rPr>
              <w:t>: 340. Условия эксплуатации: Температура, °С: -30 - +45. Влажность</w:t>
            </w:r>
            <w:proofErr w:type="gramStart"/>
            <w:r w:rsidRPr="0036351D">
              <w:rPr>
                <w:sz w:val="20"/>
              </w:rPr>
              <w:t xml:space="preserve">, %: </w:t>
            </w:r>
            <w:proofErr w:type="gramEnd"/>
            <w:r w:rsidRPr="0036351D">
              <w:rPr>
                <w:sz w:val="20"/>
              </w:rPr>
              <w:t xml:space="preserve">при 25 °С 98. Габаритные размеры (в упаковке), </w:t>
            </w:r>
            <w:proofErr w:type="gramStart"/>
            <w:r w:rsidRPr="0036351D">
              <w:rPr>
                <w:sz w:val="20"/>
              </w:rPr>
              <w:t>мм</w:t>
            </w:r>
            <w:proofErr w:type="gramEnd"/>
            <w:r w:rsidRPr="0036351D">
              <w:rPr>
                <w:sz w:val="20"/>
              </w:rPr>
              <w:t xml:space="preserve">: 1020x80x110. Масса (в упаковке), </w:t>
            </w:r>
            <w:proofErr w:type="gramStart"/>
            <w:r w:rsidRPr="0036351D">
              <w:rPr>
                <w:sz w:val="20"/>
              </w:rPr>
              <w:t>кг</w:t>
            </w:r>
            <w:proofErr w:type="gramEnd"/>
            <w:r w:rsidRPr="0036351D">
              <w:rPr>
                <w:sz w:val="20"/>
              </w:rPr>
              <w:t>: 0,65.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C3DFC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CC3DFC">
              <w:rPr>
                <w:sz w:val="20"/>
              </w:rPr>
              <w:t>ВЛ</w:t>
            </w:r>
            <w:proofErr w:type="gramEnd"/>
            <w:r w:rsidRPr="00CC3DF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CC3DFC">
              <w:rPr>
                <w:sz w:val="20"/>
              </w:rPr>
              <w:t>УВНБУ 6-35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57915">
            <w:pPr>
              <w:ind w:firstLine="0"/>
              <w:rPr>
                <w:sz w:val="24"/>
                <w:szCs w:val="24"/>
              </w:rPr>
            </w:pPr>
            <w:r w:rsidRPr="006656C9">
              <w:rPr>
                <w:sz w:val="20"/>
              </w:rPr>
              <w:t xml:space="preserve">Предназначены для определения наличия (отсутствия) напряжения на токоведущих частях электрических сетей переменного тока 6÷35 </w:t>
            </w:r>
            <w:proofErr w:type="spellStart"/>
            <w:r w:rsidRPr="006656C9">
              <w:rPr>
                <w:sz w:val="20"/>
              </w:rPr>
              <w:t>кВ</w:t>
            </w:r>
            <w:proofErr w:type="spellEnd"/>
            <w:r w:rsidRPr="006656C9">
              <w:rPr>
                <w:sz w:val="20"/>
              </w:rPr>
              <w:t xml:space="preserve"> при непосредственной связи с этими частями (контактный способ). Дополнительной функцией указателя является определение наличия (отсутствия) напряжения без непосредственной связи с токоведущими частями (бесконтактный способ). Используются со специальными универсальными штангами. Наличие переменного напряжения индицируется звуковым и световым сигналами. Имеют режим автоматического самоконтроля и индикацию разряда батареи. Напряжение питания, В: 3. Ток, потребляемый от элементов питания, мА: не более 80. Условия эксплуатации: температура, С: влажность при температуре 25 С, % от -30 до +40 до 98. Габаритные размеры, </w:t>
            </w:r>
            <w:proofErr w:type="gramStart"/>
            <w:r w:rsidRPr="006656C9">
              <w:rPr>
                <w:sz w:val="20"/>
              </w:rPr>
              <w:t>мм</w:t>
            </w:r>
            <w:proofErr w:type="gramEnd"/>
            <w:r w:rsidRPr="006656C9">
              <w:rPr>
                <w:sz w:val="20"/>
              </w:rPr>
              <w:t xml:space="preserve">: не более 80 х 150. Масса, </w:t>
            </w:r>
            <w:proofErr w:type="gramStart"/>
            <w:r w:rsidRPr="006656C9">
              <w:rPr>
                <w:sz w:val="20"/>
              </w:rPr>
              <w:t>кг</w:t>
            </w:r>
            <w:proofErr w:type="gramEnd"/>
            <w:r w:rsidRPr="006656C9">
              <w:rPr>
                <w:sz w:val="20"/>
              </w:rPr>
              <w:t>: не более 0,35.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 xml:space="preserve">Указатель напряжения до 1 </w:t>
            </w:r>
            <w:proofErr w:type="spellStart"/>
            <w:r w:rsidRPr="00CC3DFC">
              <w:rPr>
                <w:sz w:val="20"/>
              </w:rPr>
              <w:t>кВ</w:t>
            </w:r>
            <w:proofErr w:type="spellEnd"/>
            <w:r w:rsidRPr="00CC3DFC">
              <w:rPr>
                <w:sz w:val="20"/>
              </w:rPr>
              <w:t xml:space="preserve"> УНВЛ-0,4М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Указатель напряжения УНВЛ-0,4М предназначен для определения наличия или отсутствия напряжения на воздушных линиях (</w:t>
            </w:r>
            <w:proofErr w:type="gramStart"/>
            <w:r w:rsidRPr="00621D68">
              <w:rPr>
                <w:sz w:val="20"/>
              </w:rPr>
              <w:t>ВЛ</w:t>
            </w:r>
            <w:proofErr w:type="gramEnd"/>
            <w:r w:rsidRPr="00621D68">
              <w:rPr>
                <w:sz w:val="20"/>
              </w:rPr>
              <w:t xml:space="preserve">) электропередачи переменного тока напряжением до 0,4 </w:t>
            </w:r>
            <w:proofErr w:type="spellStart"/>
            <w:r w:rsidRPr="00621D68">
              <w:rPr>
                <w:sz w:val="20"/>
              </w:rPr>
              <w:t>кВ.</w:t>
            </w:r>
            <w:proofErr w:type="spellEnd"/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Указатель может использоваться для проверки совпадения фаз в электроустановках переменного тока напряжением до 0,4 </w:t>
            </w:r>
            <w:proofErr w:type="spellStart"/>
            <w:r w:rsidRPr="00621D68">
              <w:rPr>
                <w:sz w:val="20"/>
              </w:rPr>
              <w:t>кВ</w:t>
            </w:r>
            <w:proofErr w:type="spellEnd"/>
            <w:r w:rsidRPr="00621D68">
              <w:rPr>
                <w:sz w:val="20"/>
              </w:rPr>
              <w:t>, а также для определения наведенного напряжения и наведенной мощности на ВЛ.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Принцип работы указателя напряжения основан на протекании активного тока при непосредственном прикосновении к токоведущим частям. В указателе предусмотрена возможность подключения к вольтметру (тестеру) для измерения напряжения.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При работе с опоры указатель обеспечивает приближение руки к проводу </w:t>
            </w:r>
            <w:proofErr w:type="gramStart"/>
            <w:r w:rsidRPr="00621D68">
              <w:rPr>
                <w:sz w:val="20"/>
              </w:rPr>
              <w:t>ВЛ</w:t>
            </w:r>
            <w:proofErr w:type="gramEnd"/>
            <w:r w:rsidRPr="00621D68">
              <w:rPr>
                <w:sz w:val="20"/>
              </w:rPr>
              <w:t xml:space="preserve"> на расстояние не ближе 0,6 м. В отличие от других известных указателей, указатель УНВЛ-0,4М позволяет определить наличие/отсутствие напряжения, а также измерить напряжение без подъема на опору с использованием двух универсальных электроизолирующих штанг ШЭУ-10-5-6,6, поставляемых по заказу.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1—рукоятка;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2—изолирующая часть;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3 — рабочая часть;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4 — контакт-наконечник;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5 — </w:t>
            </w:r>
            <w:proofErr w:type="spellStart"/>
            <w:r w:rsidRPr="00621D68">
              <w:rPr>
                <w:sz w:val="20"/>
              </w:rPr>
              <w:t>затенитель</w:t>
            </w:r>
            <w:proofErr w:type="spellEnd"/>
            <w:r w:rsidRPr="00621D68">
              <w:rPr>
                <w:sz w:val="20"/>
              </w:rPr>
              <w:t xml:space="preserve">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6 — соединительный провод;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7 — ограничительное кольцо;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8 — вольтметр (тестер)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lastRenderedPageBreak/>
              <w:t>Двухполюсный указатель напряжения УНВЛ-0,4 (см. рис.) состоит из двух корпусов, содержащих элементы электрической схемы. Корпуса указателя соединены между собой гибким проводом.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Светодиодный индикатор с </w:t>
            </w:r>
            <w:proofErr w:type="gramStart"/>
            <w:r w:rsidRPr="00621D68">
              <w:rPr>
                <w:sz w:val="20"/>
              </w:rPr>
              <w:t>несъемным</w:t>
            </w:r>
            <w:proofErr w:type="gramEnd"/>
            <w:r w:rsidRPr="00621D68">
              <w:rPr>
                <w:sz w:val="20"/>
              </w:rPr>
              <w:t xml:space="preserve"> </w:t>
            </w:r>
            <w:proofErr w:type="spellStart"/>
            <w:r w:rsidRPr="00621D68">
              <w:rPr>
                <w:sz w:val="20"/>
              </w:rPr>
              <w:t>затенителем</w:t>
            </w:r>
            <w:proofErr w:type="spellEnd"/>
            <w:r w:rsidRPr="00621D68">
              <w:rPr>
                <w:sz w:val="20"/>
              </w:rPr>
              <w:t xml:space="preserve"> обеспечивает надежную визуальную индикацию наличия напряжения. Указатель снабжен разъемом и гибким проводом длиной 8 м для подключения к вольтметру (тестеру).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В комплект поставки указателя входят провод для измерения напряжения и чехол.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В комплект поставки УНВЛ-0,4 по согласованию с Заказчиком могут быть включены: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две электроизолирующих универсальных штанги ШЭУ-10-5-6,6 (пятизвенные, длиной 6,6 м);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очки с затемненными стеклами;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проверочное устройство УПУН.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Технические характеристики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Минимальное напряжение, при котором срабатывает индикация указателя: 25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Максимальное рабочее напряжение, В: 400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Длина соединительного провода указателя, </w:t>
            </w:r>
            <w:proofErr w:type="gramStart"/>
            <w:r w:rsidRPr="00621D68">
              <w:rPr>
                <w:sz w:val="20"/>
              </w:rPr>
              <w:t>м</w:t>
            </w:r>
            <w:proofErr w:type="gramEnd"/>
            <w:r w:rsidRPr="00621D68">
              <w:rPr>
                <w:sz w:val="20"/>
              </w:rPr>
              <w:t>, не менее: 1,5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Вес указателя не более, </w:t>
            </w:r>
            <w:proofErr w:type="gramStart"/>
            <w:r w:rsidRPr="00621D68">
              <w:rPr>
                <w:sz w:val="20"/>
              </w:rPr>
              <w:t>кг</w:t>
            </w:r>
            <w:proofErr w:type="gramEnd"/>
            <w:r w:rsidRPr="00621D68">
              <w:rPr>
                <w:sz w:val="20"/>
              </w:rPr>
              <w:t>: 0,73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Вес провода для измерения напряжения, </w:t>
            </w:r>
            <w:proofErr w:type="gramStart"/>
            <w:r w:rsidRPr="00621D68">
              <w:rPr>
                <w:sz w:val="20"/>
              </w:rPr>
              <w:t>кг</w:t>
            </w:r>
            <w:proofErr w:type="gramEnd"/>
            <w:r w:rsidRPr="00621D68">
              <w:rPr>
                <w:sz w:val="20"/>
              </w:rPr>
              <w:t>, не более: 0,53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Длина провода для измерения напряжения, </w:t>
            </w:r>
            <w:proofErr w:type="gramStart"/>
            <w:r w:rsidRPr="00621D68">
              <w:rPr>
                <w:sz w:val="20"/>
              </w:rPr>
              <w:t>м</w:t>
            </w:r>
            <w:proofErr w:type="gramEnd"/>
            <w:r w:rsidRPr="00621D68">
              <w:rPr>
                <w:sz w:val="20"/>
              </w:rPr>
              <w:t>, не менее: 8,0</w:t>
            </w:r>
          </w:p>
          <w:p w:rsidR="00260406" w:rsidRDefault="00260406" w:rsidP="00621D6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21D68">
              <w:rPr>
                <w:sz w:val="20"/>
              </w:rPr>
              <w:t>Срок службы, лет, не менее: 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260406" w:rsidTr="00C870D6">
        <w:trPr>
          <w:trHeight w:val="326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C3DFC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 xml:space="preserve">Указатель напряжения низковольтный 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"Контакт"-53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A71AB">
              <w:rPr>
                <w:sz w:val="20"/>
              </w:rPr>
              <w:t xml:space="preserve">редназначен для: </w:t>
            </w:r>
            <w:proofErr w:type="gramStart"/>
            <w:r w:rsidRPr="00BA71AB">
              <w:rPr>
                <w:sz w:val="20"/>
              </w:rPr>
              <w:t>-о</w:t>
            </w:r>
            <w:proofErr w:type="gramEnd"/>
            <w:r w:rsidRPr="00BA71AB">
              <w:rPr>
                <w:sz w:val="20"/>
              </w:rPr>
              <w:t xml:space="preserve">пределение ориентировочной величины напряжение тока; </w:t>
            </w:r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 xml:space="preserve">-определение полярности постоянного тока; </w:t>
            </w:r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proofErr w:type="gramStart"/>
            <w:r w:rsidRPr="00BA71AB">
              <w:rPr>
                <w:sz w:val="20"/>
              </w:rPr>
              <w:t>-</w:t>
            </w:r>
            <w:proofErr w:type="spellStart"/>
            <w:r w:rsidRPr="00BA71AB">
              <w:rPr>
                <w:sz w:val="20"/>
              </w:rPr>
              <w:t>прозвонка</w:t>
            </w:r>
            <w:proofErr w:type="spellEnd"/>
            <w:r w:rsidRPr="00BA71AB">
              <w:rPr>
                <w:sz w:val="20"/>
              </w:rPr>
              <w:t xml:space="preserve"> цепей в </w:t>
            </w:r>
            <w:proofErr w:type="spellStart"/>
            <w:r w:rsidRPr="00BA71AB">
              <w:rPr>
                <w:sz w:val="20"/>
              </w:rPr>
              <w:t>т.ч</w:t>
            </w:r>
            <w:proofErr w:type="spellEnd"/>
            <w:r w:rsidRPr="00BA71AB">
              <w:rPr>
                <w:sz w:val="20"/>
              </w:rPr>
              <w:t xml:space="preserve">. обмоток, электродвигателей, пускателей, трансформаторов, контакторов, проверка исправности диодов, тиристоров, транзисторов и т.п. </w:t>
            </w:r>
            <w:proofErr w:type="gramEnd"/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 xml:space="preserve">-определение фазного провода в цепях переменного тока. </w:t>
            </w:r>
          </w:p>
          <w:p w:rsidR="00260406" w:rsidRPr="005F0628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>Диапазон контролируемых напряжений</w:t>
            </w:r>
            <w:r>
              <w:rPr>
                <w:sz w:val="20"/>
              </w:rPr>
              <w:t xml:space="preserve"> </w:t>
            </w:r>
            <w:r w:rsidRPr="00BA71AB">
              <w:rPr>
                <w:sz w:val="20"/>
              </w:rPr>
              <w:t>12-380 В</w:t>
            </w:r>
            <w:r>
              <w:rPr>
                <w:sz w:val="20"/>
              </w:rPr>
              <w:t>.</w:t>
            </w:r>
            <w:r w:rsidRPr="00BA71AB">
              <w:rPr>
                <w:sz w:val="20"/>
              </w:rPr>
              <w:t xml:space="preserve"> Максимальное сопротивление внешней цепи, </w:t>
            </w:r>
            <w:proofErr w:type="gramStart"/>
            <w:r w:rsidRPr="00BA71AB">
              <w:rPr>
                <w:sz w:val="20"/>
              </w:rPr>
              <w:t>при</w:t>
            </w:r>
            <w:proofErr w:type="gramEnd"/>
            <w:r w:rsidRPr="00BA71AB">
              <w:rPr>
                <w:sz w:val="20"/>
              </w:rPr>
              <w:t xml:space="preserve"> </w:t>
            </w:r>
            <w:proofErr w:type="gramStart"/>
            <w:r w:rsidRPr="00BA71AB">
              <w:rPr>
                <w:sz w:val="20"/>
              </w:rPr>
              <w:t>которым</w:t>
            </w:r>
            <w:proofErr w:type="gramEnd"/>
            <w:r w:rsidRPr="00BA71AB">
              <w:rPr>
                <w:sz w:val="20"/>
              </w:rPr>
              <w:t xml:space="preserve"> обеспечивается </w:t>
            </w:r>
            <w:proofErr w:type="spellStart"/>
            <w:r w:rsidRPr="00BA71AB">
              <w:rPr>
                <w:sz w:val="20"/>
              </w:rPr>
              <w:t>прозвонка</w:t>
            </w:r>
            <w:proofErr w:type="spellEnd"/>
            <w:r w:rsidRPr="00BA71AB">
              <w:rPr>
                <w:sz w:val="20"/>
              </w:rPr>
              <w:t xml:space="preserve"> 10000 Ом</w:t>
            </w:r>
            <w:r w:rsidRPr="00BA71AB">
              <w:rPr>
                <w:sz w:val="20"/>
              </w:rPr>
              <w:br/>
              <w:t xml:space="preserve">Время сохранения работоспособности пробника в режиме </w:t>
            </w:r>
            <w:proofErr w:type="spellStart"/>
            <w:r w:rsidRPr="00BA71AB">
              <w:rPr>
                <w:sz w:val="20"/>
              </w:rPr>
              <w:t>прозвонки</w:t>
            </w:r>
            <w:proofErr w:type="spellEnd"/>
            <w:r w:rsidRPr="00BA71AB">
              <w:rPr>
                <w:sz w:val="20"/>
              </w:rPr>
              <w:t xml:space="preserve"> после одной зарядки не менее 24 час  Количество замкнутых цепей, которое можно прозвонить от одной зарядки, не менее 60  Длина соединительного провода 1000 мм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15EFD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напряжения УВНКБ-110</w:t>
            </w:r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Helvetica" w:hAnsi="Helvetica"/>
                <w:sz w:val="20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УКАЗАТЕЛЬ ВЫСОКОВОЛЬТНЫЙ СО СВЕТОЗВУКОВОЙ ИНДИКАЦИЕЙ КОМБИНИРОВАННЫЙ   (контактно-бесконтактный)     УВНКБ-10-110</w:t>
            </w:r>
          </w:p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inherit" w:hAnsi="inherit"/>
                <w:bCs/>
                <w:sz w:val="20"/>
                <w:bdr w:val="none" w:sz="0" w:space="0" w:color="auto" w:frame="1"/>
              </w:rPr>
            </w:pP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Предназначен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для определения наличия (отсутствия) напряжения на воздушных линиях электропередачи и в электроустановках переменного тока промышленной частоты напряжением 10…110кВ. Указатель состоит из двух: рабочей (индикаторной) и изолирующей частей соединенных резьбовыми втулками. Двухзвенная  изолирующая часть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выполнен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из полиэтиленового или стеклопластикового материала с высокой механической и диэлектрической прочностью с герметизацией внутренних полостей. Рабочая часть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выполнен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в затеняющем корпусе из ударопрочного полистирола. Наличие напряжения индицируется с помощью ярких светодиодов и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пъезоэлектрического</w:t>
            </w:r>
            <w:proofErr w:type="spell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излучателя звука, размещенные в затеняющем корпусе обеспечивающую достаточную видимость сигнала в солнечную погоду. Указатель обеспечивает визуальную и звуковую индикацию во всех режимах работы. Указатель относится к основным 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lastRenderedPageBreak/>
              <w:t>электрозащитным средствам. Отличительной особенностью указателя является совмещение два способа контроля напряжения  (контактной и бесконтактной) в одной электронной схеме. 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Работа указателя при контактном способе основывается на преобразовании электрических сигналов в светозвуковые за счет протекании емкостного тока, при бесконтактном – на наведении разности потенциалов между двумя электродами, внесенными в электрическое поле.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 Имеет встроенную схему самопроверки и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автоматического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тестирование работоспособной, обеспечивающее возможность полной проверки исправности электрических цепей рабочей и индикаторной частей. </w:t>
            </w:r>
          </w:p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inherit" w:hAnsi="inherit"/>
                <w:bCs/>
                <w:sz w:val="20"/>
                <w:bdr w:val="none" w:sz="0" w:space="0" w:color="auto" w:frame="1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Климатические условия эксплуатации: температура окружающего воздуха от -30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 до +40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С, относительная влажность не выше 98% при 25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С.</w:t>
            </w:r>
          </w:p>
          <w:p w:rsidR="00260406" w:rsidRPr="007A01C4" w:rsidRDefault="00260406" w:rsidP="005E1DAF">
            <w:pPr>
              <w:spacing w:line="240" w:lineRule="auto"/>
              <w:textAlignment w:val="baseline"/>
              <w:outlineLvl w:val="4"/>
              <w:rPr>
                <w:sz w:val="24"/>
                <w:szCs w:val="24"/>
                <w:highlight w:val="yellow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номинальное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напряжени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e</w:t>
            </w:r>
            <w:proofErr w:type="spellEnd"/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10/35/110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кВ</w:t>
            </w:r>
            <w:proofErr w:type="spell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; минимальное напряжение срабатывания индикации не более 2,5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кВ</w:t>
            </w:r>
            <w:proofErr w:type="spell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; рабочая (индукторная) часть400х80х80 мм; штанга указателя1160х200 мм; вес указателя не более 1,7 кг.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15EFD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Указатель тока и напряжения  УТН-1000</w:t>
            </w:r>
            <w:proofErr w:type="gramStart"/>
            <w:r w:rsidRPr="00CC3DFC">
              <w:rPr>
                <w:sz w:val="20"/>
              </w:rPr>
              <w:t xml:space="preserve">  У</w:t>
            </w:r>
            <w:proofErr w:type="gramEnd"/>
          </w:p>
          <w:p w:rsidR="0023567C" w:rsidRDefault="0023567C" w:rsidP="00CC3DFC">
            <w:pPr>
              <w:ind w:firstLine="0"/>
              <w:rPr>
                <w:sz w:val="20"/>
              </w:rPr>
            </w:pP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260406" w:rsidRPr="00CC3DFC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5B2FC3" w:rsidRDefault="00260406" w:rsidP="00621D68">
            <w:pPr>
              <w:spacing w:line="240" w:lineRule="auto"/>
              <w:ind w:firstLine="0"/>
              <w:rPr>
                <w:sz w:val="20"/>
              </w:rPr>
            </w:pPr>
            <w:r w:rsidRPr="005B2FC3">
              <w:rPr>
                <w:sz w:val="20"/>
              </w:rPr>
              <w:t xml:space="preserve">Индикация измеряемой величины и режима работы (переменное, постоянное, ток или напряжение) осуществляется посредством цифрового табло. </w:t>
            </w:r>
            <w:proofErr w:type="gramStart"/>
            <w:r w:rsidRPr="005B2FC3">
              <w:rPr>
                <w:sz w:val="20"/>
              </w:rPr>
              <w:t xml:space="preserve">Для определения величины постоянного и переменного тока воздушных линиях и </w:t>
            </w:r>
            <w:proofErr w:type="spellStart"/>
            <w:r w:rsidRPr="005B2FC3">
              <w:rPr>
                <w:sz w:val="20"/>
              </w:rPr>
              <w:t>распредустройствах</w:t>
            </w:r>
            <w:proofErr w:type="spellEnd"/>
            <w:r w:rsidRPr="005B2FC3">
              <w:rPr>
                <w:sz w:val="20"/>
              </w:rPr>
              <w:t xml:space="preserve"> 0.4-10 </w:t>
            </w:r>
            <w:proofErr w:type="spellStart"/>
            <w:r w:rsidRPr="005B2FC3">
              <w:rPr>
                <w:sz w:val="20"/>
              </w:rPr>
              <w:t>кВ</w:t>
            </w:r>
            <w:proofErr w:type="spellEnd"/>
            <w:r w:rsidRPr="005B2FC3">
              <w:rPr>
                <w:sz w:val="20"/>
              </w:rPr>
              <w:t xml:space="preserve">, указатель комплектован изолирующей штангой с рукояткой, L=0.36м, а в комплекте с изолирующей многофункциональной 4-х </w:t>
            </w:r>
            <w:proofErr w:type="spellStart"/>
            <w:r w:rsidRPr="005B2FC3">
              <w:rPr>
                <w:sz w:val="20"/>
              </w:rPr>
              <w:t>звенной</w:t>
            </w:r>
            <w:proofErr w:type="spellEnd"/>
            <w:r w:rsidRPr="005B2FC3">
              <w:rPr>
                <w:sz w:val="20"/>
              </w:rPr>
              <w:t xml:space="preserve"> сборной штангой ШО-10-4-6,6 длиной 6,6 м, поставляемой по заказу потребителя за отдельную плату, указатель позволяет определить величину тока на линиях электропередач 0.4-10 </w:t>
            </w:r>
            <w:proofErr w:type="spellStart"/>
            <w:r w:rsidRPr="005B2FC3">
              <w:rPr>
                <w:sz w:val="20"/>
              </w:rPr>
              <w:t>кВ</w:t>
            </w:r>
            <w:proofErr w:type="spellEnd"/>
            <w:r w:rsidRPr="005B2FC3">
              <w:rPr>
                <w:sz w:val="20"/>
              </w:rPr>
              <w:t>, без подъема на опору</w:t>
            </w:r>
            <w:proofErr w:type="gramEnd"/>
            <w:r w:rsidRPr="005B2FC3">
              <w:rPr>
                <w:sz w:val="20"/>
              </w:rPr>
              <w:t xml:space="preserve"> </w:t>
            </w:r>
            <w:proofErr w:type="gramStart"/>
            <w:r w:rsidRPr="005B2FC3">
              <w:rPr>
                <w:sz w:val="20"/>
              </w:rPr>
              <w:t>ВЛ</w:t>
            </w:r>
            <w:proofErr w:type="gramEnd"/>
            <w:r w:rsidRPr="005B2FC3">
              <w:rPr>
                <w:sz w:val="20"/>
              </w:rPr>
              <w:t>, непосредственно с поверхности земли.</w:t>
            </w:r>
            <w:r w:rsidRPr="005B2FC3">
              <w:rPr>
                <w:sz w:val="20"/>
              </w:rPr>
              <w:br/>
              <w:t> </w:t>
            </w:r>
            <w:proofErr w:type="spellStart"/>
            <w:r w:rsidRPr="005B2FC3">
              <w:rPr>
                <w:sz w:val="20"/>
              </w:rPr>
              <w:t>Переключние</w:t>
            </w:r>
            <w:proofErr w:type="spellEnd"/>
            <w:r w:rsidRPr="005B2FC3">
              <w:rPr>
                <w:sz w:val="20"/>
              </w:rPr>
              <w:t xml:space="preserve"> режимов пост/</w:t>
            </w:r>
            <w:proofErr w:type="spellStart"/>
            <w:r w:rsidRPr="005B2FC3">
              <w:rPr>
                <w:sz w:val="20"/>
              </w:rPr>
              <w:t>перем</w:t>
            </w:r>
            <w:proofErr w:type="spellEnd"/>
            <w:r w:rsidRPr="005B2FC3">
              <w:rPr>
                <w:sz w:val="20"/>
              </w:rPr>
              <w:t xml:space="preserve">. осуществляется автоматически. Принцип работы указателя основан на определении величины напряженности электромагнитного поля, создаваемого вокруг проводника посредством совокупности специализированных температурно-компенсированных датчиков, распределительных вокруг токоведущего проводника по осям вилки указателя, что </w:t>
            </w:r>
            <w:proofErr w:type="spellStart"/>
            <w:r w:rsidRPr="005B2FC3">
              <w:rPr>
                <w:sz w:val="20"/>
              </w:rPr>
              <w:t>посволяет</w:t>
            </w:r>
            <w:proofErr w:type="spellEnd"/>
            <w:r w:rsidRPr="005B2FC3">
              <w:rPr>
                <w:sz w:val="20"/>
              </w:rPr>
              <w:t xml:space="preserve"> определение величины тока независимо от оси и угла расположения проводника в пространстве вилки указателя.</w:t>
            </w:r>
          </w:p>
          <w:p w:rsidR="00260406" w:rsidRPr="005B2FC3" w:rsidRDefault="00260406" w:rsidP="00621D68">
            <w:pPr>
              <w:spacing w:line="240" w:lineRule="auto"/>
              <w:ind w:firstLine="0"/>
              <w:rPr>
                <w:sz w:val="20"/>
              </w:rPr>
            </w:pPr>
            <w:r w:rsidRPr="005B2FC3">
              <w:rPr>
                <w:sz w:val="20"/>
              </w:rPr>
              <w:t> Диапазон определения величины переменного тока А 0-1000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постоянного тока А </w:t>
            </w:r>
            <w:r w:rsidRPr="005B2FC3">
              <w:rPr>
                <w:sz w:val="20"/>
              </w:rPr>
              <w:br/>
              <w:t> (в режиме автоматического переключения) 20-1000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напряжения переменного тока</w:t>
            </w:r>
            <w:proofErr w:type="gramStart"/>
            <w:r w:rsidRPr="005B2FC3">
              <w:rPr>
                <w:sz w:val="20"/>
              </w:rPr>
              <w:t xml:space="preserve"> В</w:t>
            </w:r>
            <w:proofErr w:type="gramEnd"/>
            <w:r w:rsidRPr="005B2FC3">
              <w:rPr>
                <w:sz w:val="20"/>
              </w:rPr>
              <w:t xml:space="preserve">, 0-1000 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напряжения постоянного тока</w:t>
            </w:r>
            <w:proofErr w:type="gramStart"/>
            <w:r w:rsidRPr="005B2FC3">
              <w:rPr>
                <w:sz w:val="20"/>
              </w:rPr>
              <w:t xml:space="preserve"> В</w:t>
            </w:r>
            <w:proofErr w:type="gramEnd"/>
            <w:r w:rsidRPr="005B2FC3">
              <w:rPr>
                <w:sz w:val="20"/>
              </w:rPr>
              <w:t>, 10-1000</w:t>
            </w:r>
            <w:r w:rsidRPr="005B2FC3">
              <w:rPr>
                <w:sz w:val="20"/>
              </w:rPr>
              <w:br/>
              <w:t xml:space="preserve"> (в режиме автоматического переключения) 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Условия эксплуатации У</w:t>
            </w:r>
            <w:proofErr w:type="gramStart"/>
            <w:r w:rsidRPr="005B2FC3">
              <w:rPr>
                <w:sz w:val="20"/>
              </w:rPr>
              <w:t>1</w:t>
            </w:r>
            <w:proofErr w:type="gramEnd"/>
            <w:r w:rsidRPr="005B2FC3">
              <w:rPr>
                <w:sz w:val="20"/>
              </w:rPr>
              <w:t>, ГОСТ 15150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Рабочая температура °С 45°С +45°С относительная влажность 80% при 25°С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Ошибка (при определении величины напряжения) % 1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Ошибка (при определении величины тока) % от макс. знач. тока (999 А) 1,5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Время запоминания значения последнего измерения 10 сек.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Питание: два последовательно соединенных литиевых элемента типа CR 123A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Ток потребления указателя, </w:t>
            </w:r>
            <w:proofErr w:type="spellStart"/>
            <w:r w:rsidRPr="005B2FC3">
              <w:rPr>
                <w:sz w:val="20"/>
              </w:rPr>
              <w:t>м</w:t>
            </w:r>
            <w:proofErr w:type="gramStart"/>
            <w:r w:rsidRPr="005B2FC3">
              <w:rPr>
                <w:sz w:val="20"/>
              </w:rPr>
              <w:t>A</w:t>
            </w:r>
            <w:proofErr w:type="spellEnd"/>
            <w:proofErr w:type="gramEnd"/>
            <w:r w:rsidRPr="005B2FC3">
              <w:rPr>
                <w:sz w:val="20"/>
              </w:rPr>
              <w:t xml:space="preserve"> 30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Габаритные размеры указателя,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для 0,4 </w:t>
            </w:r>
            <w:proofErr w:type="spellStart"/>
            <w:r w:rsidRPr="005B2FC3">
              <w:rPr>
                <w:sz w:val="20"/>
              </w:rPr>
              <w:t>кВ</w:t>
            </w:r>
            <w:proofErr w:type="spellEnd"/>
            <w:r w:rsidRPr="005B2FC3">
              <w:rPr>
                <w:sz w:val="20"/>
              </w:rPr>
              <w:t xml:space="preserve"> 430 x 55 x 72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Габаритные размеры указателя,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для 10 </w:t>
            </w:r>
            <w:proofErr w:type="spellStart"/>
            <w:r w:rsidRPr="005B2FC3">
              <w:rPr>
                <w:sz w:val="20"/>
              </w:rPr>
              <w:t>кВ</w:t>
            </w:r>
            <w:proofErr w:type="spellEnd"/>
            <w:r w:rsidRPr="005B2FC3">
              <w:rPr>
                <w:sz w:val="20"/>
              </w:rPr>
              <w:t xml:space="preserve"> 940 x 55 x 72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Длина соединительного провода между корпусом указателя и  </w:t>
            </w:r>
            <w:proofErr w:type="spellStart"/>
            <w:r w:rsidRPr="005B2FC3">
              <w:rPr>
                <w:sz w:val="20"/>
              </w:rPr>
              <w:t>допольнительным</w:t>
            </w:r>
            <w:proofErr w:type="spellEnd"/>
            <w:r w:rsidRPr="005B2FC3">
              <w:rPr>
                <w:sz w:val="20"/>
              </w:rPr>
              <w:t xml:space="preserve"> электродом для определения величины напряжения,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1200  </w:t>
            </w:r>
          </w:p>
          <w:p w:rsidR="00260406" w:rsidRPr="00621D68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Масса не более, </w:t>
            </w:r>
            <w:proofErr w:type="gramStart"/>
            <w:r w:rsidRPr="005B2FC3">
              <w:rPr>
                <w:sz w:val="20"/>
              </w:rPr>
              <w:t>кг</w:t>
            </w:r>
            <w:proofErr w:type="gramEnd"/>
            <w:r w:rsidRPr="005B2FC3">
              <w:rPr>
                <w:sz w:val="20"/>
              </w:rPr>
              <w:t xml:space="preserve"> 0,6</w:t>
            </w:r>
            <w:r>
              <w:rPr>
                <w:sz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Устройство проверки указателя напряжения УПУН-1М</w:t>
            </w: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F062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C36B0">
              <w:rPr>
                <w:sz w:val="20"/>
              </w:rPr>
              <w:t xml:space="preserve">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питания.  УПУН-1М – для указателей напряжения, используемых в электроустановках и ЛЭП номинальным напряжением до 10 </w:t>
            </w:r>
            <w:proofErr w:type="spellStart"/>
            <w:r w:rsidRPr="00AC36B0">
              <w:rPr>
                <w:sz w:val="20"/>
              </w:rPr>
              <w:t>кВ</w:t>
            </w:r>
            <w:proofErr w:type="spellEnd"/>
            <w:r w:rsidRPr="00AC36B0">
              <w:rPr>
                <w:sz w:val="20"/>
              </w:rPr>
              <w:t>;  Напряжение на выходе устройства 1500</w:t>
            </w:r>
            <w:proofErr w:type="gramStart"/>
            <w:r w:rsidRPr="00AC36B0">
              <w:rPr>
                <w:sz w:val="20"/>
              </w:rPr>
              <w:t xml:space="preserve"> В</w:t>
            </w:r>
            <w:proofErr w:type="gramEnd"/>
            <w:r w:rsidRPr="00AC36B0">
              <w:rPr>
                <w:sz w:val="20"/>
              </w:rPr>
              <w:t xml:space="preserve">  Частота выходного напряжения 1,2±0,2 кГц  Номинальное напряжение источника питания 9 В  Номинальное напряжение встроенного зарядного устройства 220 В</w:t>
            </w:r>
            <w:r>
              <w:t xml:space="preserve">  </w:t>
            </w:r>
            <w:r w:rsidRPr="00AC36B0">
              <w:rPr>
                <w:sz w:val="20"/>
              </w:rPr>
              <w:t>Продолжительность непрерывной работы устройства не менее 4 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bookmarkEnd w:id="0"/>
    </w:tbl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B6A06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2A" w:rsidRDefault="00A1602A">
      <w:r>
        <w:separator/>
      </w:r>
    </w:p>
  </w:endnote>
  <w:endnote w:type="continuationSeparator" w:id="0">
    <w:p w:rsidR="00A1602A" w:rsidRDefault="00A1602A">
      <w:r>
        <w:continuationSeparator/>
      </w:r>
    </w:p>
  </w:endnote>
  <w:endnote w:type="continuationNotice" w:id="1">
    <w:p w:rsidR="00A1602A" w:rsidRDefault="00A160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2A" w:rsidRDefault="00A1602A">
      <w:r>
        <w:separator/>
      </w:r>
    </w:p>
  </w:footnote>
  <w:footnote w:type="continuationSeparator" w:id="0">
    <w:p w:rsidR="00A1602A" w:rsidRDefault="00A1602A">
      <w:r>
        <w:continuationSeparator/>
      </w:r>
    </w:p>
  </w:footnote>
  <w:footnote w:type="continuationNotice" w:id="1">
    <w:p w:rsidR="00A1602A" w:rsidRDefault="00A1602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062939"/>
    <w:multiLevelType w:val="multilevel"/>
    <w:tmpl w:val="46F4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6"/>
  </w:num>
  <w:num w:numId="5">
    <w:abstractNumId w:val="20"/>
  </w:num>
  <w:num w:numId="6">
    <w:abstractNumId w:val="4"/>
  </w:num>
  <w:num w:numId="7">
    <w:abstractNumId w:val="25"/>
  </w:num>
  <w:num w:numId="8">
    <w:abstractNumId w:val="14"/>
  </w:num>
  <w:num w:numId="9">
    <w:abstractNumId w:val="12"/>
  </w:num>
  <w:num w:numId="10">
    <w:abstractNumId w:val="5"/>
  </w:num>
  <w:num w:numId="11">
    <w:abstractNumId w:val="6"/>
  </w:num>
  <w:num w:numId="12">
    <w:abstractNumId w:val="8"/>
  </w:num>
  <w:num w:numId="13">
    <w:abstractNumId w:val="16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3"/>
  </w:num>
  <w:num w:numId="19">
    <w:abstractNumId w:val="9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7"/>
  </w:num>
  <w:num w:numId="23">
    <w:abstractNumId w:val="27"/>
  </w:num>
  <w:num w:numId="24">
    <w:abstractNumId w:val="32"/>
  </w:num>
  <w:num w:numId="25">
    <w:abstractNumId w:val="30"/>
  </w:num>
  <w:num w:numId="26">
    <w:abstractNumId w:val="11"/>
  </w:num>
  <w:num w:numId="27">
    <w:abstractNumId w:val="17"/>
  </w:num>
  <w:num w:numId="28">
    <w:abstractNumId w:val="19"/>
  </w:num>
  <w:num w:numId="29">
    <w:abstractNumId w:val="28"/>
  </w:num>
  <w:num w:numId="30">
    <w:abstractNumId w:val="21"/>
  </w:num>
  <w:num w:numId="31">
    <w:abstractNumId w:val="29"/>
  </w:num>
  <w:num w:numId="32">
    <w:abstractNumId w:val="2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3BF9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09FB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5EFD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567C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406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1561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51D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3C60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B22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A06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4076"/>
    <w:rsid w:val="00555FB4"/>
    <w:rsid w:val="005572B3"/>
    <w:rsid w:val="00557915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1DAF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1D68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01C4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3899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87FC1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C7B34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02A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898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4C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405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66ABE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369"/>
    <w:rsid w:val="00C86656"/>
    <w:rsid w:val="00C86E43"/>
    <w:rsid w:val="00C870D6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3DFC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2A5F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70D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1160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69DB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663F3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95C8F-070F-47DB-B601-806A6650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22831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2018-10-31T00:11:00Z</cp:lastPrinted>
  <dcterms:created xsi:type="dcterms:W3CDTF">2018-10-25T00:13:00Z</dcterms:created>
  <dcterms:modified xsi:type="dcterms:W3CDTF">2018-11-02T01:05:00Z</dcterms:modified>
</cp:coreProperties>
</file>