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1C0" w:rsidRDefault="00DC749E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Техническое задание</w:t>
      </w:r>
    </w:p>
    <w:p w:rsidR="00C231C0" w:rsidRDefault="00DC749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оказание информационных услуг по сопровождению СПС </w:t>
      </w:r>
      <w:proofErr w:type="spellStart"/>
      <w:r>
        <w:rPr>
          <w:b/>
          <w:bCs/>
          <w:sz w:val="28"/>
          <w:szCs w:val="28"/>
        </w:rPr>
        <w:t>КонсультантПлюс</w:t>
      </w:r>
      <w:proofErr w:type="spellEnd"/>
    </w:p>
    <w:p w:rsidR="00C231C0" w:rsidRDefault="00DC749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для нужд филиала АО «ДРСК» «ПЭС» в 2019 – 2021гг.</w:t>
      </w:r>
    </w:p>
    <w:p w:rsidR="00C231C0" w:rsidRDefault="00DC749E">
      <w:pPr>
        <w:pStyle w:val="a8"/>
        <w:numPr>
          <w:ilvl w:val="0"/>
          <w:numId w:val="1"/>
        </w:numPr>
        <w:tabs>
          <w:tab w:val="left" w:pos="851"/>
        </w:tabs>
        <w:spacing w:after="200" w:line="276" w:lineRule="auto"/>
        <w:rPr>
          <w:rFonts w:eastAsiaTheme="minorHAnsi"/>
          <w:b/>
          <w:color w:val="000000"/>
          <w:sz w:val="26"/>
          <w:szCs w:val="26"/>
          <w:lang w:bidi="ru-RU"/>
        </w:rPr>
      </w:pPr>
      <w:r>
        <w:rPr>
          <w:rFonts w:eastAsiaTheme="minorHAnsi"/>
          <w:b/>
          <w:color w:val="000000"/>
          <w:sz w:val="26"/>
          <w:szCs w:val="26"/>
          <w:lang w:bidi="ru-RU"/>
        </w:rPr>
        <w:t>Общие положения:</w:t>
      </w:r>
    </w:p>
    <w:p w:rsidR="00C231C0" w:rsidRDefault="00DC749E">
      <w:pPr>
        <w:pStyle w:val="a8"/>
        <w:numPr>
          <w:ilvl w:val="1"/>
          <w:numId w:val="1"/>
        </w:numPr>
        <w:tabs>
          <w:tab w:val="left" w:pos="851"/>
        </w:tabs>
        <w:ind w:left="0" w:firstLine="567"/>
      </w:pPr>
      <w:r>
        <w:rPr>
          <w:rFonts w:eastAsiaTheme="minorHAnsi"/>
          <w:color w:val="000000"/>
          <w:sz w:val="26"/>
          <w:szCs w:val="26"/>
          <w:lang w:bidi="ru-RU"/>
        </w:rPr>
        <w:t>Место оказания услуг с использованием экземпляра(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ов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) Системы </w:t>
      </w:r>
      <w:proofErr w:type="spellStart"/>
      <w:proofErr w:type="gram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:</w:t>
      </w:r>
      <w:proofErr w:type="gramEnd"/>
      <w:r>
        <w:rPr>
          <w:rFonts w:eastAsiaTheme="minorHAnsi"/>
          <w:color w:val="000000"/>
          <w:sz w:val="26"/>
          <w:szCs w:val="26"/>
          <w:lang w:bidi="ru-RU"/>
        </w:rPr>
        <w:t xml:space="preserve"> РФ, Приморский край, г. Владивосток, ул. Командорская 13а .</w:t>
      </w:r>
    </w:p>
    <w:p w:rsidR="00C231C0" w:rsidRDefault="00DC749E">
      <w:pPr>
        <w:pStyle w:val="a8"/>
        <w:numPr>
          <w:ilvl w:val="1"/>
          <w:numId w:val="1"/>
        </w:numPr>
        <w:tabs>
          <w:tab w:val="left" w:pos="851"/>
        </w:tabs>
        <w:ind w:left="0" w:firstLine="567"/>
      </w:pPr>
      <w:r>
        <w:rPr>
          <w:rFonts w:eastAsiaTheme="minorHAnsi"/>
          <w:color w:val="000000"/>
          <w:sz w:val="26"/>
          <w:szCs w:val="26"/>
          <w:lang w:bidi="ru-RU"/>
        </w:rPr>
        <w:t>Срок оказания услуг: c 01.01.2019 г. по 31.12.2021г.</w:t>
      </w:r>
    </w:p>
    <w:p w:rsidR="00C231C0" w:rsidRDefault="00DC749E">
      <w:pPr>
        <w:pStyle w:val="a8"/>
        <w:numPr>
          <w:ilvl w:val="1"/>
          <w:numId w:val="1"/>
        </w:numPr>
        <w:tabs>
          <w:tab w:val="left" w:pos="851"/>
        </w:tabs>
        <w:ind w:left="0" w:firstLine="567"/>
      </w:pPr>
      <w:r>
        <w:rPr>
          <w:rFonts w:eastAsiaTheme="minorHAnsi"/>
          <w:color w:val="000000"/>
          <w:sz w:val="26"/>
          <w:szCs w:val="26"/>
          <w:lang w:bidi="ru-RU"/>
        </w:rPr>
        <w:t>Порядок сдачи-приемки услуг: порядок сдачи-приемки услуг определяется договором и настоящим ТЗ. Исполнитель ежемесячно до 5 (пятого) числа месяца, следующего за отчетным, предоставляет Заказчику Акт сдачи-приемки услуг, отчет о фактически оказанных услугах за отчетный период.</w:t>
      </w:r>
    </w:p>
    <w:p w:rsidR="00C231C0" w:rsidRDefault="00DC749E">
      <w:pPr>
        <w:pStyle w:val="a8"/>
        <w:numPr>
          <w:ilvl w:val="1"/>
          <w:numId w:val="1"/>
        </w:numPr>
        <w:tabs>
          <w:tab w:val="left" w:pos="851"/>
        </w:tabs>
        <w:ind w:left="0" w:firstLine="567"/>
      </w:pPr>
      <w:r>
        <w:rPr>
          <w:rFonts w:eastAsiaTheme="minorHAnsi"/>
          <w:color w:val="000000"/>
          <w:sz w:val="26"/>
          <w:szCs w:val="26"/>
          <w:lang w:bidi="ru-RU"/>
        </w:rPr>
        <w:t xml:space="preserve">Оплата услуг: производится </w:t>
      </w:r>
      <w:proofErr w:type="gramStart"/>
      <w:r>
        <w:rPr>
          <w:rFonts w:eastAsiaTheme="minorHAnsi"/>
          <w:color w:val="000000"/>
          <w:sz w:val="26"/>
          <w:szCs w:val="26"/>
          <w:lang w:bidi="ru-RU"/>
        </w:rPr>
        <w:t>ежемесячно  в</w:t>
      </w:r>
      <w:proofErr w:type="gramEnd"/>
      <w:r>
        <w:rPr>
          <w:rFonts w:eastAsiaTheme="minorHAnsi"/>
          <w:color w:val="000000"/>
          <w:sz w:val="26"/>
          <w:szCs w:val="26"/>
          <w:lang w:bidi="ru-RU"/>
        </w:rPr>
        <w:t xml:space="preserve"> течение 30 календарных дней с даты подписания Акта сдачи-приемки оказанных услуг.</w:t>
      </w:r>
      <w:r>
        <w:rPr>
          <w:rFonts w:eastAsiaTheme="minorHAnsi"/>
          <w:color w:val="000000"/>
          <w:sz w:val="26"/>
          <w:szCs w:val="26"/>
          <w:lang w:eastAsia="en-US" w:bidi="ru-RU"/>
        </w:rPr>
        <w:t xml:space="preserve"> Оплата услуг по допоставке и замене комплектов Систем производится в течение 10 (дней) с момента оказания услуги.</w:t>
      </w:r>
    </w:p>
    <w:p w:rsidR="00C231C0" w:rsidRDefault="00DC749E">
      <w:pPr>
        <w:pStyle w:val="a8"/>
        <w:numPr>
          <w:ilvl w:val="1"/>
          <w:numId w:val="1"/>
        </w:numPr>
        <w:tabs>
          <w:tab w:val="left" w:pos="851"/>
        </w:tabs>
        <w:ind w:left="0" w:firstLine="567"/>
      </w:pPr>
      <w:r>
        <w:rPr>
          <w:rFonts w:eastAsiaTheme="minorHAnsi"/>
          <w:color w:val="000000"/>
          <w:sz w:val="26"/>
          <w:szCs w:val="26"/>
          <w:lang w:eastAsia="en-US" w:bidi="ru-RU"/>
        </w:rPr>
        <w:t xml:space="preserve">Участник закупки в своем предложении предоставляет полную расшифровку стоимости с разбивкой по каждому году и каждой позиции. </w:t>
      </w:r>
      <w:r>
        <w:rPr>
          <w:rFonts w:eastAsiaTheme="minorHAnsi"/>
          <w:color w:val="000000"/>
          <w:sz w:val="26"/>
          <w:szCs w:val="26"/>
          <w:lang w:bidi="ru-RU"/>
        </w:rPr>
        <w:t xml:space="preserve">Стоимость </w:t>
      </w:r>
      <w:r>
        <w:rPr>
          <w:bCs/>
          <w:sz w:val="26"/>
          <w:szCs w:val="26"/>
        </w:rPr>
        <w:t>услуг информационного сопровождения</w:t>
      </w:r>
      <w:r>
        <w:rPr>
          <w:rFonts w:eastAsiaTheme="minorHAnsi"/>
          <w:color w:val="000000"/>
          <w:sz w:val="26"/>
          <w:szCs w:val="26"/>
          <w:lang w:bidi="ru-RU"/>
        </w:rPr>
        <w:t xml:space="preserve"> должна оставаться фиксированной на протяжении всего срока действия договора.</w:t>
      </w:r>
      <w:r>
        <w:rPr>
          <w:rFonts w:eastAsiaTheme="minorHAnsi"/>
          <w:color w:val="000000"/>
          <w:sz w:val="26"/>
          <w:szCs w:val="26"/>
          <w:lang w:eastAsia="en-US" w:bidi="ru-RU"/>
        </w:rPr>
        <w:t xml:space="preserve"> </w:t>
      </w:r>
    </w:p>
    <w:p w:rsidR="00C231C0" w:rsidRDefault="00DC749E">
      <w:pPr>
        <w:numPr>
          <w:ilvl w:val="1"/>
          <w:numId w:val="1"/>
        </w:numPr>
        <w:tabs>
          <w:tab w:val="left" w:pos="851"/>
        </w:tabs>
        <w:ind w:left="0" w:firstLine="567"/>
        <w:contextualSpacing/>
        <w:jc w:val="both"/>
      </w:pPr>
      <w:r>
        <w:rPr>
          <w:sz w:val="26"/>
          <w:szCs w:val="26"/>
        </w:rPr>
        <w:t>Участник закупки предоставляет в своем предложении полную расшифровку состава выпусков Систем, в том числе и те, что предоставляются бесплатно.</w:t>
      </w:r>
    </w:p>
    <w:p w:rsidR="00C231C0" w:rsidRDefault="00DC749E">
      <w:pPr>
        <w:pStyle w:val="a8"/>
        <w:numPr>
          <w:ilvl w:val="0"/>
          <w:numId w:val="1"/>
        </w:numPr>
        <w:rPr>
          <w:sz w:val="26"/>
          <w:szCs w:val="26"/>
        </w:rPr>
      </w:pPr>
      <w:r>
        <w:rPr>
          <w:b/>
          <w:sz w:val="26"/>
          <w:szCs w:val="26"/>
        </w:rPr>
        <w:t>Перечень оказываемых услуг:</w:t>
      </w:r>
    </w:p>
    <w:p w:rsidR="00C231C0" w:rsidRDefault="00DC749E">
      <w:pPr>
        <w:pStyle w:val="a8"/>
        <w:ind w:firstLine="567"/>
        <w:jc w:val="left"/>
      </w:pPr>
      <w:r>
        <w:rPr>
          <w:sz w:val="26"/>
          <w:szCs w:val="26"/>
        </w:rPr>
        <w:t xml:space="preserve">2.1. </w:t>
      </w:r>
      <w:r>
        <w:rPr>
          <w:rFonts w:eastAsiaTheme="minorHAnsi"/>
          <w:color w:val="000000"/>
          <w:sz w:val="26"/>
          <w:szCs w:val="26"/>
          <w:lang w:eastAsia="en-US" w:bidi="ru-RU"/>
        </w:rPr>
        <w:t>Исполнитель обязан произвести замену существующих экземпляров Систем серии VIP согласно таблице:</w:t>
      </w:r>
    </w:p>
    <w:p w:rsidR="00C231C0" w:rsidRDefault="00C231C0">
      <w:pPr>
        <w:pStyle w:val="a8"/>
        <w:ind w:left="360" w:firstLine="0"/>
        <w:rPr>
          <w:b/>
          <w:sz w:val="26"/>
          <w:szCs w:val="26"/>
        </w:rPr>
      </w:pPr>
    </w:p>
    <w:tbl>
      <w:tblPr>
        <w:tblW w:w="9498" w:type="dxa"/>
        <w:tblInd w:w="-7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4223"/>
        <w:gridCol w:w="2204"/>
        <w:gridCol w:w="1288"/>
        <w:gridCol w:w="1783"/>
      </w:tblGrid>
      <w:tr w:rsidR="00C231C0">
        <w:trPr>
          <w:trHeight w:val="1380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заменяемого продукта (экземпляр Системы) (под названием указать тип  дистрибутива – локальный, сетевой –  однопользовательский, сетевой)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заменяющего продукта (экземпляр Системы)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Число ОД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Регистрационный номер</w:t>
            </w:r>
          </w:p>
        </w:tc>
      </w:tr>
      <w:tr w:rsidR="00C231C0"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r>
              <w:rPr>
                <w:sz w:val="24"/>
              </w:rPr>
              <w:t xml:space="preserve">СПС </w:t>
            </w:r>
            <w:proofErr w:type="spellStart"/>
            <w:r>
              <w:rPr>
                <w:sz w:val="24"/>
              </w:rPr>
              <w:t>КонсультантПлюс</w:t>
            </w:r>
            <w:proofErr w:type="spellEnd"/>
            <w:r>
              <w:rPr>
                <w:sz w:val="24"/>
              </w:rPr>
              <w:t xml:space="preserve">: Версия </w:t>
            </w:r>
            <w:proofErr w:type="spellStart"/>
            <w:r>
              <w:rPr>
                <w:sz w:val="24"/>
              </w:rPr>
              <w:t>Проф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b/>
                <w:sz w:val="24"/>
              </w:rPr>
              <w:t>локальный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rPr>
                <w:sz w:val="24"/>
              </w:rPr>
            </w:pPr>
            <w:r>
              <w:rPr>
                <w:sz w:val="24"/>
              </w:rPr>
              <w:t>СПС Консультант Премиум смарт-комплект Максимум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</w:pPr>
            <w:r>
              <w:rPr>
                <w:sz w:val="24"/>
              </w:rPr>
              <w:t>ОВК-Ф — 1шт.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</w:pPr>
            <w:r>
              <w:rPr>
                <w:color w:val="000000"/>
                <w:sz w:val="22"/>
                <w:szCs w:val="22"/>
              </w:rPr>
              <w:t>355171/2, 355170/2, 292923/2</w:t>
            </w:r>
          </w:p>
        </w:tc>
      </w:tr>
    </w:tbl>
    <w:p w:rsidR="00C231C0" w:rsidRDefault="00C231C0">
      <w:pPr>
        <w:rPr>
          <w:b/>
          <w:sz w:val="26"/>
          <w:szCs w:val="26"/>
        </w:rPr>
      </w:pPr>
    </w:p>
    <w:p w:rsidR="00C231C0" w:rsidRDefault="00DC749E">
      <w:pPr>
        <w:ind w:firstLine="709"/>
        <w:jc w:val="both"/>
      </w:pPr>
      <w:r>
        <w:rPr>
          <w:sz w:val="26"/>
          <w:szCs w:val="26"/>
        </w:rPr>
        <w:t>Число ОД — максимальное количество электронных устройств (ПЭВМ), с которых может быть осуществлен одновременный доступ к системе.</w:t>
      </w:r>
    </w:p>
    <w:p w:rsidR="00C231C0" w:rsidRDefault="00DC749E">
      <w:pPr>
        <w:ind w:firstLine="709"/>
        <w:jc w:val="both"/>
      </w:pPr>
      <w:r>
        <w:rPr>
          <w:sz w:val="26"/>
          <w:szCs w:val="26"/>
        </w:rPr>
        <w:t>Количество замененных комплектов должно быть равно количеству заменяемых комплектов и составлять 3 (три) штуки.</w:t>
      </w:r>
    </w:p>
    <w:p w:rsidR="00C231C0" w:rsidRDefault="00DC749E">
      <w:pPr>
        <w:widowControl w:val="0"/>
        <w:ind w:firstLine="709"/>
        <w:jc w:val="both"/>
      </w:pPr>
      <w:r>
        <w:rPr>
          <w:sz w:val="24"/>
          <w:szCs w:val="26"/>
        </w:rPr>
        <w:t xml:space="preserve">Исполнитель производит замену имеющихся у Заказчика экземпляров Систем </w:t>
      </w:r>
      <w:proofErr w:type="spellStart"/>
      <w:r>
        <w:rPr>
          <w:sz w:val="24"/>
          <w:szCs w:val="26"/>
        </w:rPr>
        <w:t>КонсультантПлюс</w:t>
      </w:r>
      <w:proofErr w:type="spellEnd"/>
      <w:r>
        <w:rPr>
          <w:sz w:val="24"/>
          <w:szCs w:val="26"/>
        </w:rPr>
        <w:t xml:space="preserve"> и указанных в п 2.1. настоящего технического задания</w:t>
      </w:r>
      <w:r>
        <w:rPr>
          <w:spacing w:val="-4"/>
          <w:sz w:val="24"/>
          <w:szCs w:val="26"/>
        </w:rPr>
        <w:t xml:space="preserve"> производится </w:t>
      </w:r>
      <w:r>
        <w:rPr>
          <w:sz w:val="24"/>
          <w:szCs w:val="26"/>
        </w:rPr>
        <w:t>в течение 15 дней с даты начала оказания услуг по Договору.</w:t>
      </w:r>
    </w:p>
    <w:p w:rsidR="00C231C0" w:rsidRDefault="00DC749E">
      <w:pPr>
        <w:pStyle w:val="a8"/>
      </w:pPr>
      <w:r>
        <w:rPr>
          <w:sz w:val="26"/>
          <w:szCs w:val="26"/>
        </w:rPr>
        <w:t xml:space="preserve">2.2. Исполнитель обязан осуществить допоставку Системы в комплект Систем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серии VIP согласно таблице:</w:t>
      </w:r>
    </w:p>
    <w:p w:rsidR="00C231C0" w:rsidRDefault="00C231C0">
      <w:pPr>
        <w:pStyle w:val="a8"/>
        <w:ind w:left="360" w:firstLine="0"/>
        <w:rPr>
          <w:b/>
          <w:sz w:val="26"/>
          <w:szCs w:val="26"/>
        </w:rPr>
      </w:pPr>
    </w:p>
    <w:tbl>
      <w:tblPr>
        <w:tblW w:w="9500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379"/>
        <w:gridCol w:w="1276"/>
        <w:gridCol w:w="1845"/>
      </w:tblGrid>
      <w:tr w:rsidR="00C231C0">
        <w:trPr>
          <w:trHeight w:val="525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231C0" w:rsidRDefault="00DC749E">
            <w:pPr>
              <w:jc w:val="both"/>
            </w:pPr>
            <w:r>
              <w:rPr>
                <w:b/>
              </w:rPr>
              <w:t>Наименование экземпляра Онлайн версии</w:t>
            </w:r>
            <w:r>
              <w:t xml:space="preserve"> </w:t>
            </w:r>
            <w:r>
              <w:rPr>
                <w:b/>
              </w:rPr>
              <w:t xml:space="preserve">Системы </w:t>
            </w:r>
            <w:proofErr w:type="spellStart"/>
            <w:r>
              <w:rPr>
                <w:b/>
              </w:rPr>
              <w:t>КонсультантПлюс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  <w:rPr>
                <w:b/>
              </w:rPr>
            </w:pPr>
            <w:r>
              <w:rPr>
                <w:b/>
              </w:rPr>
              <w:t>Число ОД</w:t>
            </w:r>
          </w:p>
        </w:tc>
      </w:tr>
      <w:tr w:rsidR="00C231C0">
        <w:trPr>
          <w:cantSplit/>
          <w:trHeight w:val="313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231C0" w:rsidRDefault="00DC749E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СС </w:t>
            </w:r>
            <w:proofErr w:type="spellStart"/>
            <w:r>
              <w:rPr>
                <w:sz w:val="24"/>
              </w:rPr>
              <w:t>КонсультантПлюс</w:t>
            </w:r>
            <w:proofErr w:type="spellEnd"/>
            <w:r>
              <w:rPr>
                <w:sz w:val="24"/>
              </w:rPr>
              <w:t>: 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C231C0" w:rsidRDefault="00DC74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шт.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231C0" w:rsidRDefault="00DC74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сеть — 50шт.</w:t>
            </w:r>
          </w:p>
        </w:tc>
      </w:tr>
    </w:tbl>
    <w:p w:rsidR="00C231C0" w:rsidRDefault="00C231C0">
      <w:pPr>
        <w:ind w:left="360"/>
        <w:rPr>
          <w:b/>
          <w:sz w:val="26"/>
          <w:szCs w:val="26"/>
        </w:rPr>
      </w:pPr>
    </w:p>
    <w:p w:rsidR="00C231C0" w:rsidRDefault="00DC749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Число ОД — максимальное количество электронных устройств (ПЭВМ), с которых может быть осуществлен одновременный доступ к системе.</w:t>
      </w:r>
    </w:p>
    <w:p w:rsidR="00C231C0" w:rsidRDefault="00DC749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производит допоставку экземпляров в комплект Систем </w:t>
      </w:r>
      <w:proofErr w:type="spellStart"/>
      <w:proofErr w:type="gram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 -</w:t>
      </w:r>
      <w:proofErr w:type="gramEnd"/>
      <w:r>
        <w:rPr>
          <w:sz w:val="26"/>
          <w:szCs w:val="26"/>
        </w:rPr>
        <w:t xml:space="preserve"> передача Заказчику и адаптация (установка в комплект(ы) СПС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Заказчика, тестирование) экземпляров Систем в течение 15 дней с даты начала оказания услуг по Договору.</w:t>
      </w:r>
    </w:p>
    <w:p w:rsidR="00C231C0" w:rsidRDefault="00DC749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 Исполнитель обязан оказать информационные услуги сопровождения с использованием экземпляров Систем:</w:t>
      </w:r>
    </w:p>
    <w:p w:rsidR="00C231C0" w:rsidRDefault="00DC749E">
      <w:pPr>
        <w:ind w:firstLine="709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2.3.1.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серии VIP согласно приведенной таблице:</w:t>
      </w:r>
    </w:p>
    <w:p w:rsidR="00C231C0" w:rsidRDefault="00C231C0">
      <w:pPr>
        <w:rPr>
          <w:sz w:val="26"/>
          <w:szCs w:val="26"/>
        </w:rPr>
      </w:pPr>
    </w:p>
    <w:p w:rsidR="00C231C0" w:rsidRDefault="00C231C0"/>
    <w:tbl>
      <w:tblPr>
        <w:tblW w:w="9378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678"/>
        <w:gridCol w:w="1532"/>
        <w:gridCol w:w="1302"/>
        <w:gridCol w:w="1866"/>
      </w:tblGrid>
      <w:tr w:rsidR="00C231C0">
        <w:trPr>
          <w:trHeight w:val="45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31C0" w:rsidRDefault="00DC749E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Наименование Системы </w:t>
            </w:r>
            <w:r>
              <w:rPr>
                <w:b/>
                <w:sz w:val="18"/>
                <w:szCs w:val="18"/>
              </w:rPr>
              <w:t>Серии VIP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31C0" w:rsidRDefault="00DC74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Рег.номер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231C0" w:rsidRDefault="00DC74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Число ОД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C0" w:rsidRDefault="00DC74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Периодичность оказания услуг</w:t>
            </w:r>
          </w:p>
        </w:tc>
      </w:tr>
      <w:tr w:rsidR="00C231C0">
        <w:trPr>
          <w:trHeight w:val="166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СПС Консультант Юрист: Версия </w:t>
            </w:r>
            <w:proofErr w:type="spellStart"/>
            <w:r>
              <w:rPr>
                <w:color w:val="000000"/>
                <w:sz w:val="24"/>
              </w:rPr>
              <w:t>Проф</w:t>
            </w:r>
            <w:proofErr w:type="spell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292922/2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сеть — 50 шт.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раз в неделю</w:t>
            </w:r>
          </w:p>
        </w:tc>
      </w:tr>
      <w:tr w:rsidR="00C231C0">
        <w:trPr>
          <w:trHeight w:val="256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СС </w:t>
            </w:r>
            <w:proofErr w:type="spellStart"/>
            <w:r>
              <w:rPr>
                <w:color w:val="000000"/>
                <w:sz w:val="24"/>
              </w:rPr>
              <w:t>КонсультантБухгалтер</w:t>
            </w:r>
            <w:proofErr w:type="spellEnd"/>
            <w:r>
              <w:rPr>
                <w:color w:val="000000"/>
                <w:sz w:val="24"/>
              </w:rPr>
              <w:t xml:space="preserve">: Версия </w:t>
            </w:r>
            <w:proofErr w:type="spellStart"/>
            <w:r>
              <w:rPr>
                <w:color w:val="000000"/>
                <w:sz w:val="24"/>
              </w:rPr>
              <w:t>Проф</w:t>
            </w:r>
            <w:proofErr w:type="spellEnd"/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580300/2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сеть — 50 шт.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раз в неделю</w:t>
            </w:r>
          </w:p>
        </w:tc>
      </w:tr>
      <w:tr w:rsidR="00C231C0">
        <w:trPr>
          <w:trHeight w:val="51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СС </w:t>
            </w:r>
            <w:proofErr w:type="spellStart"/>
            <w:r>
              <w:rPr>
                <w:color w:val="000000"/>
                <w:sz w:val="24"/>
              </w:rPr>
              <w:t>КонсультантСудебная</w:t>
            </w:r>
            <w:proofErr w:type="spellEnd"/>
            <w:r>
              <w:rPr>
                <w:color w:val="000000"/>
                <w:sz w:val="24"/>
              </w:rPr>
              <w:t xml:space="preserve"> Практика: Суды общей юрисдикции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83712/2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сеть — 50 шт.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раз в неделю</w:t>
            </w:r>
          </w:p>
        </w:tc>
      </w:tr>
      <w:tr w:rsidR="00C231C0">
        <w:trPr>
          <w:trHeight w:val="51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СС </w:t>
            </w:r>
            <w:proofErr w:type="spellStart"/>
            <w:r>
              <w:rPr>
                <w:color w:val="000000"/>
                <w:sz w:val="24"/>
              </w:rPr>
              <w:t>КонсультантАрбитраж</w:t>
            </w:r>
            <w:proofErr w:type="spellEnd"/>
            <w:r>
              <w:rPr>
                <w:color w:val="000000"/>
                <w:sz w:val="24"/>
              </w:rPr>
              <w:t>: Арбитражные суды всех округов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81511/2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сеть — 50 шт.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раз в неделю</w:t>
            </w:r>
          </w:p>
        </w:tc>
      </w:tr>
      <w:tr w:rsidR="00C231C0">
        <w:trPr>
          <w:trHeight w:val="162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СПС </w:t>
            </w:r>
            <w:proofErr w:type="spellStart"/>
            <w:r>
              <w:rPr>
                <w:color w:val="000000"/>
                <w:sz w:val="24"/>
              </w:rPr>
              <w:t>КонсультантПлюс</w:t>
            </w:r>
            <w:proofErr w:type="spellEnd"/>
            <w:r>
              <w:rPr>
                <w:color w:val="000000"/>
                <w:sz w:val="24"/>
              </w:rPr>
              <w:t xml:space="preserve">: Приморский выпуск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1899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сеть — 50 шт.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раз в неделю</w:t>
            </w:r>
          </w:p>
        </w:tc>
      </w:tr>
      <w:tr w:rsidR="00C231C0">
        <w:trPr>
          <w:trHeight w:val="153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СС </w:t>
            </w:r>
            <w:proofErr w:type="spellStart"/>
            <w:r>
              <w:rPr>
                <w:color w:val="000000"/>
                <w:sz w:val="24"/>
              </w:rPr>
              <w:t>КонсультантПлюс</w:t>
            </w:r>
            <w:proofErr w:type="spellEnd"/>
            <w:r>
              <w:rPr>
                <w:color w:val="000000"/>
                <w:sz w:val="24"/>
              </w:rPr>
              <w:t>: Строительство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C231C0">
            <w:pPr>
              <w:snapToGrid w:val="0"/>
              <w:jc w:val="center"/>
              <w:rPr>
                <w:color w:val="000000"/>
                <w:sz w:val="24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сеть — 50 шт.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 раз в неделю</w:t>
            </w:r>
          </w:p>
        </w:tc>
      </w:tr>
    </w:tbl>
    <w:p w:rsidR="00C231C0" w:rsidRDefault="00C231C0">
      <w:pPr>
        <w:ind w:left="360"/>
        <w:rPr>
          <w:sz w:val="26"/>
          <w:szCs w:val="26"/>
        </w:rPr>
      </w:pPr>
    </w:p>
    <w:p w:rsidR="00C231C0" w:rsidRDefault="00DC749E">
      <w:pPr>
        <w:ind w:firstLine="709"/>
      </w:pPr>
      <w:r>
        <w:rPr>
          <w:sz w:val="26"/>
          <w:szCs w:val="26"/>
        </w:rPr>
        <w:t>Число ОД — максимальное количество электронных устройств (ПЭВМ), с которых может быть осуществлен одновременный доступ к системе.</w:t>
      </w:r>
    </w:p>
    <w:p w:rsidR="00C231C0" w:rsidRDefault="00DC749E">
      <w:pPr>
        <w:ind w:firstLine="709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2.3.2.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серии VIP (ОВК-Ф) согласно приведенной таблице:</w:t>
      </w:r>
    </w:p>
    <w:p w:rsidR="00C231C0" w:rsidRDefault="00C231C0">
      <w:pPr>
        <w:rPr>
          <w:sz w:val="26"/>
          <w:szCs w:val="26"/>
        </w:rPr>
      </w:pPr>
    </w:p>
    <w:tbl>
      <w:tblPr>
        <w:tblW w:w="9356" w:type="dxa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856"/>
        <w:gridCol w:w="1104"/>
        <w:gridCol w:w="1530"/>
        <w:gridCol w:w="1251"/>
        <w:gridCol w:w="1615"/>
      </w:tblGrid>
      <w:tr w:rsidR="00C231C0">
        <w:trPr>
          <w:cantSplit/>
          <w:trHeight w:val="828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</w:pPr>
            <w:r>
              <w:rPr>
                <w:b/>
                <w:bCs/>
              </w:rPr>
              <w:t xml:space="preserve">Название </w:t>
            </w:r>
            <w:r>
              <w:rPr>
                <w:b/>
              </w:rPr>
              <w:t>Онлайн версии</w:t>
            </w:r>
            <w:r>
              <w:t xml:space="preserve"> </w:t>
            </w:r>
            <w:r>
              <w:rPr>
                <w:b/>
                <w:bCs/>
              </w:rPr>
              <w:t xml:space="preserve">Системы </w:t>
            </w:r>
            <w:proofErr w:type="spellStart"/>
            <w:r>
              <w:rPr>
                <w:b/>
                <w:bCs/>
              </w:rPr>
              <w:t>КонсультантПлюс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Кол-во систем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дистрибутива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Число ОД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Периодичность оказания услуг</w:t>
            </w:r>
          </w:p>
        </w:tc>
      </w:tr>
      <w:tr w:rsidR="00C231C0">
        <w:trPr>
          <w:cantSplit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both"/>
              <w:rPr>
                <w:sz w:val="24"/>
              </w:rPr>
            </w:pPr>
            <w:r>
              <w:rPr>
                <w:sz w:val="24"/>
              </w:rPr>
              <w:t>СПС Консультант Премиум смарт-комплект Максимум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355171/2, 355170/2, 292923/2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ОВК-Ф — 1шт.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1C0" w:rsidRDefault="00DC749E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ежедневно</w:t>
            </w:r>
          </w:p>
        </w:tc>
      </w:tr>
    </w:tbl>
    <w:p w:rsidR="00C231C0" w:rsidRDefault="00C231C0">
      <w:pPr>
        <w:ind w:firstLine="709"/>
        <w:rPr>
          <w:sz w:val="26"/>
          <w:szCs w:val="26"/>
        </w:rPr>
      </w:pPr>
    </w:p>
    <w:p w:rsidR="00C231C0" w:rsidRDefault="00DC749E">
      <w:pPr>
        <w:ind w:firstLine="709"/>
      </w:pPr>
      <w:r>
        <w:rPr>
          <w:sz w:val="26"/>
          <w:szCs w:val="26"/>
        </w:rPr>
        <w:t>Число ОД — максимальное количество электронных устройств (ПЭВМ), с которых может быть осуществлен одновременный доступ к системе.</w:t>
      </w:r>
    </w:p>
    <w:p w:rsidR="00C231C0" w:rsidRDefault="00DC749E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231C0" w:rsidRDefault="00DC749E">
      <w:pPr>
        <w:shd w:val="clear" w:color="auto" w:fill="FFFFFF"/>
        <w:jc w:val="both"/>
        <w:rPr>
          <w:sz w:val="26"/>
          <w:szCs w:val="26"/>
        </w:rPr>
      </w:pPr>
      <w:r>
        <w:rPr>
          <w:b/>
          <w:sz w:val="28"/>
          <w:szCs w:val="28"/>
        </w:rPr>
        <w:t xml:space="preserve">3. </w:t>
      </w:r>
      <w:r>
        <w:rPr>
          <w:b/>
          <w:sz w:val="26"/>
          <w:szCs w:val="26"/>
        </w:rPr>
        <w:t>Прочие требования:</w:t>
      </w:r>
    </w:p>
    <w:p w:rsidR="00C231C0" w:rsidRDefault="00C231C0">
      <w:pPr>
        <w:widowControl w:val="0"/>
        <w:ind w:firstLine="426"/>
        <w:jc w:val="both"/>
        <w:rPr>
          <w:sz w:val="26"/>
          <w:szCs w:val="26"/>
        </w:rPr>
      </w:pP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Оказание услуг с использованием экземпляра(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 xml:space="preserve">) Системы(м), указанных в п. 2.3.1. настоящего технического задания предусматривает обновление информационных банков экземпляров Систем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Заказчика новой информацией путем ее доставки специалистом Исполнителя по месту нахождения </w:t>
      </w:r>
      <w:r>
        <w:rPr>
          <w:sz w:val="26"/>
          <w:szCs w:val="26"/>
        </w:rPr>
        <w:lastRenderedPageBreak/>
        <w:t xml:space="preserve">Заказчика. Также возможно обновление </w:t>
      </w:r>
      <w:r>
        <w:rPr>
          <w:bCs/>
          <w:sz w:val="26"/>
          <w:szCs w:val="26"/>
        </w:rPr>
        <w:t xml:space="preserve">справочной правовой системы </w:t>
      </w:r>
      <w:proofErr w:type="spellStart"/>
      <w:r>
        <w:rPr>
          <w:bCs/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через сеть Интернет.</w:t>
      </w:r>
    </w:p>
    <w:p w:rsidR="00C231C0" w:rsidRDefault="00DC749E">
      <w:pPr>
        <w:pStyle w:val="ConsPlusNormal"/>
        <w:numPr>
          <w:ilvl w:val="0"/>
          <w:numId w:val="2"/>
        </w:numPr>
        <w:tabs>
          <w:tab w:val="left" w:pos="1134"/>
        </w:tabs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Сопровождение экземпляра(</w:t>
      </w:r>
      <w:proofErr w:type="spellStart"/>
      <w:r>
        <w:rPr>
          <w:rFonts w:ascii="Times New Roman" w:hAnsi="Times New Roman" w:cs="Times New Roman"/>
          <w:sz w:val="26"/>
          <w:szCs w:val="26"/>
        </w:rPr>
        <w:t>ов</w:t>
      </w:r>
      <w:proofErr w:type="spellEnd"/>
      <w:r>
        <w:rPr>
          <w:rFonts w:ascii="Times New Roman" w:hAnsi="Times New Roman" w:cs="Times New Roman"/>
          <w:sz w:val="26"/>
          <w:szCs w:val="26"/>
        </w:rPr>
        <w:t>) Системы(м) Онлайн версии, указанных в п. 2.3.2. настоящего технического задания, включая передачу Заказчику актуальной информации (актуальных наборов текстовой информации, адаптированных к имеющемуся(</w:t>
      </w:r>
      <w:proofErr w:type="spellStart"/>
      <w:r>
        <w:rPr>
          <w:rFonts w:ascii="Times New Roman" w:hAnsi="Times New Roman" w:cs="Times New Roman"/>
          <w:sz w:val="26"/>
          <w:szCs w:val="26"/>
        </w:rPr>
        <w:t>имся</w:t>
      </w:r>
      <w:proofErr w:type="spellEnd"/>
      <w:r>
        <w:rPr>
          <w:rFonts w:ascii="Times New Roman" w:hAnsi="Times New Roman" w:cs="Times New Roman"/>
          <w:sz w:val="26"/>
          <w:szCs w:val="26"/>
        </w:rPr>
        <w:t>) у Заказчика экземпляру(</w:t>
      </w:r>
      <w:proofErr w:type="spellStart"/>
      <w:r>
        <w:rPr>
          <w:rFonts w:ascii="Times New Roman" w:hAnsi="Times New Roman" w:cs="Times New Roman"/>
          <w:sz w:val="26"/>
          <w:szCs w:val="26"/>
        </w:rPr>
        <w:t>ам</w:t>
      </w:r>
      <w:proofErr w:type="spellEnd"/>
      <w:r>
        <w:rPr>
          <w:rFonts w:ascii="Times New Roman" w:hAnsi="Times New Roman" w:cs="Times New Roman"/>
          <w:sz w:val="26"/>
          <w:szCs w:val="26"/>
        </w:rPr>
        <w:t>) Системы(м) Онлайн версии), осуществляется путем актуализации Системы(м) Онлайн версии в сети Интернет. Исполнитель обеспечивает возможность доступа к комплекту Систем 24 часа в сутки 7 дней в неделю, за исключением времени перерывов в предоставлении услуг, связанных с заменой оборудования, программного обеспечения и/или проведения других ремонтных или планово-профилактических работ на серверном оборудовании.</w:t>
      </w:r>
    </w:p>
    <w:p w:rsidR="00C231C0" w:rsidRDefault="00DC749E">
      <w:pPr>
        <w:pStyle w:val="a8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Исполнитель обязан обеспечить взаимодействие и совместимость информационных услуг и дополнительных экземпляров Систем с имеющимися у заказчика экземплярами Систем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>. Исполнитель обязан предоставить заказчику документы, подтверждающие наличие у Исполнителя необходимых прав на использование технологий и иных результатов интеллектуальной деятельности, и, в частности, копию Лицензионного (</w:t>
      </w:r>
      <w:proofErr w:type="spellStart"/>
      <w:r>
        <w:rPr>
          <w:sz w:val="26"/>
          <w:szCs w:val="26"/>
        </w:rPr>
        <w:t>сублицензионного</w:t>
      </w:r>
      <w:proofErr w:type="spellEnd"/>
      <w:r>
        <w:rPr>
          <w:sz w:val="26"/>
          <w:szCs w:val="26"/>
        </w:rPr>
        <w:t xml:space="preserve">) соглашения, подтверждающего, что специальное программное обеспечение, используемое Исполнителем для включения дополнительных экземпляров в уже установленный комплект, а также для оказания информационных услуг заказчику, полностью совместимо с имеющимися у заказчика экземплярами Систем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, а также с самостоятельно подготовленными на основании технологии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внутренними информационными ресурсами заказчика (отдельные документы и подборки, перечни документов «на контроле», комментарии, технологические взаимосвязи собственных документов заказчика с Системами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и т.д.).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Техническая профилактика работоспособности настроек доступа к Системе(</w:t>
      </w:r>
      <w:proofErr w:type="spellStart"/>
      <w:r>
        <w:rPr>
          <w:sz w:val="26"/>
          <w:szCs w:val="26"/>
        </w:rPr>
        <w:t>ам</w:t>
      </w:r>
      <w:proofErr w:type="spellEnd"/>
      <w:r>
        <w:rPr>
          <w:sz w:val="26"/>
          <w:szCs w:val="26"/>
        </w:rPr>
        <w:t>) Онлайн версии в сети Интернет и восстановление работоспособности настроек в случае сбоев компьютерного оборудования после их устранения Заказчиком, тестирование. Исполнитель обязан произвести данные работы не позднее 3 (трех) рабочих дней с момента обращения со стороны Заказчика.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Восстановление работоспособности экземпляра(</w:t>
      </w:r>
      <w:proofErr w:type="spellStart"/>
      <w:r>
        <w:rPr>
          <w:sz w:val="26"/>
          <w:szCs w:val="26"/>
        </w:rPr>
        <w:t>ов</w:t>
      </w:r>
      <w:proofErr w:type="spellEnd"/>
      <w:r>
        <w:rPr>
          <w:sz w:val="26"/>
          <w:szCs w:val="26"/>
        </w:rPr>
        <w:t>) Системы(м) в случае сбоев компьютерного оборудования после их устранения Заказчиком (тестирование, переустановка). Исполнитель обязан произвести данные работы не позднее 3 (трех) рабочих дней с момента обращения со стороны Заказчика.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Перенос экземпляра системы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на другое аппаратное оборудование Заказчика. Исполнитель обязан произвести данные работы не позднее 3 (трех) рабочих дней с момента обращения со стороны Заказчика.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Исполнитель проводит обучение представителей Заказчика работе с системой по телефону и в офисе Заказчика. </w:t>
      </w:r>
      <w:r>
        <w:rPr>
          <w:rFonts w:eastAsiaTheme="minorHAnsi"/>
          <w:color w:val="000000"/>
          <w:sz w:val="26"/>
          <w:szCs w:val="26"/>
          <w:lang w:bidi="ru-RU"/>
        </w:rPr>
        <w:t>Предоставляет электронные справочные и обучающие материалы, разработанные и издаваемые Исполнителем.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 xml:space="preserve"> Исполнитель оказывает консультационную помощь представителям Заказчика.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>Исполнитель п</w:t>
      </w:r>
      <w:r>
        <w:rPr>
          <w:sz w:val="26"/>
          <w:szCs w:val="26"/>
        </w:rPr>
        <w:t xml:space="preserve">редоставляет по требованию Заказчика любого документа из информационного массива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>. Не позднее 15 рабочих дней с момента обращения.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Исполнитель производит поиск и передачу по заявке Заказчика </w:t>
      </w:r>
      <w:proofErr w:type="spellStart"/>
      <w:r>
        <w:rPr>
          <w:sz w:val="26"/>
          <w:szCs w:val="26"/>
        </w:rPr>
        <w:t>узкоспециализованных</w:t>
      </w:r>
      <w:proofErr w:type="spellEnd"/>
      <w:r>
        <w:rPr>
          <w:sz w:val="26"/>
          <w:szCs w:val="26"/>
        </w:rPr>
        <w:t>, редких, архивных документов. Не позднее 20 рабочих дней с момента обращения.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Исполнитель производит уточнение у разработчика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по заявке Заказчика информации о статусе отдельных документов, включённых в системы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>. Не позднее 15 рабочих дней с момента обращения.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 xml:space="preserve">Исполнитель гарантирует корректную работу СПС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с операционными системами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Microsoft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Windows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, все программные продукты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обязательно сертифицируются разработчиком на совместимость с ними.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1134"/>
        </w:tabs>
        <w:ind w:left="0" w:firstLine="567"/>
        <w:rPr>
          <w:sz w:val="26"/>
          <w:szCs w:val="26"/>
        </w:rPr>
      </w:pPr>
      <w:r>
        <w:rPr>
          <w:sz w:val="26"/>
          <w:szCs w:val="26"/>
        </w:rPr>
        <w:t>Исполнитель обязан закрепить за Заказчиком персонального менеджера для решения вопросов, связанных с исполнением Договора.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left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 xml:space="preserve">Действующие редакции нормативных документов должны изменяться одновременно с поступлением в справочно-правовую систему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изменяющих документов. Не допускается отсутствие в справочно-правовой системе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актуальной редакций нормативного документа при наличии в этой же справочно-правовой системе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изменяющих документов, создающих актуальную редакцию нормативного документа.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left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 xml:space="preserve">Справочно-правовая система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 xml:space="preserve"> не должна содержать нормативные документы, не прошедшие полную юридическую обработку. Все нормативные документы должны иметь признаки разделов (тематик) для поиска документов по этим признакам. Все нормативные документы, имеющие в тексте ссылки на другие документы, содержащиеся в справочно-правовой Системе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>, должны иметь работающие гиперссылки и связи (респонденты, корреспонденты).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left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 xml:space="preserve">В процессе оказания услуг Исполнитель должен обеспечить актуальность и достоверность используемых в работе нормативных документов в составе Систем </w:t>
      </w:r>
      <w:proofErr w:type="spellStart"/>
      <w:r>
        <w:rPr>
          <w:rFonts w:eastAsiaTheme="minorHAnsi"/>
          <w:color w:val="000000"/>
          <w:sz w:val="26"/>
          <w:szCs w:val="26"/>
          <w:lang w:bidi="ru-RU"/>
        </w:rPr>
        <w:t>КонсультантПлюс</w:t>
      </w:r>
      <w:proofErr w:type="spellEnd"/>
      <w:r>
        <w:rPr>
          <w:rFonts w:eastAsiaTheme="minorHAnsi"/>
          <w:color w:val="000000"/>
          <w:sz w:val="26"/>
          <w:szCs w:val="26"/>
          <w:lang w:bidi="ru-RU"/>
        </w:rPr>
        <w:t>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left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>В процессе оказания услуг Исполнитель должен обеспечить недопущение какого-либо риска, способного причинить вред жизни или здоровью граждан, работников Заказчика, его имуществу, окружающей среде.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left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  <w:lang w:bidi="ru-RU"/>
        </w:rPr>
        <w:t xml:space="preserve">Исполнитель обязан обеспечить </w:t>
      </w:r>
      <w:r>
        <w:rPr>
          <w:color w:val="000000"/>
          <w:sz w:val="26"/>
          <w:szCs w:val="26"/>
        </w:rPr>
        <w:t>безвозмездное устранение недостатков оказанных услуг не позднее 5 (пяти) рабочих дней после обнаружения их Заказчиком.</w:t>
      </w:r>
    </w:p>
    <w:p w:rsidR="00C231C0" w:rsidRDefault="00DC749E">
      <w:pPr>
        <w:pStyle w:val="a8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left"/>
        <w:rPr>
          <w:sz w:val="26"/>
          <w:szCs w:val="26"/>
        </w:rPr>
      </w:pPr>
      <w:r>
        <w:rPr>
          <w:color w:val="000000"/>
          <w:sz w:val="26"/>
          <w:szCs w:val="26"/>
        </w:rPr>
        <w:t>Заказчик в праве предоставить доступ к экземплярам Систем любому сотруднику в ЛВС Заказчика, не нарушая лимит ОД, установленный для конкретного экземпляра Системы.</w:t>
      </w:r>
    </w:p>
    <w:p w:rsidR="00C231C0" w:rsidRDefault="00C231C0">
      <w:pPr>
        <w:pStyle w:val="a8"/>
        <w:tabs>
          <w:tab w:val="left" w:pos="851"/>
        </w:tabs>
        <w:spacing w:after="200" w:line="276" w:lineRule="auto"/>
        <w:ind w:left="720" w:firstLine="0"/>
        <w:rPr>
          <w:b/>
          <w:sz w:val="26"/>
          <w:szCs w:val="26"/>
        </w:rPr>
      </w:pPr>
    </w:p>
    <w:p w:rsidR="00C231C0" w:rsidRDefault="00DC749E">
      <w:pPr>
        <w:pStyle w:val="a8"/>
        <w:tabs>
          <w:tab w:val="left" w:pos="851"/>
        </w:tabs>
        <w:spacing w:after="200" w:line="276" w:lineRule="auto"/>
        <w:ind w:left="720" w:firstLine="0"/>
        <w:rPr>
          <w:sz w:val="26"/>
          <w:szCs w:val="26"/>
        </w:rPr>
      </w:pPr>
      <w:r>
        <w:rPr>
          <w:b/>
          <w:sz w:val="26"/>
          <w:szCs w:val="26"/>
        </w:rPr>
        <w:t>4. Периодичность оказываемых услуг:</w:t>
      </w:r>
    </w:p>
    <w:p w:rsidR="00C231C0" w:rsidRDefault="00DC749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 Оказание информационных услуг с использованием указанных выше (пункты 2.3.1. и 2.3.2.) экземпляров Системы предусматривает обеспечение получения информации Заказчиком не реже 1 (одного) раза в неделю. В силу технических особенностей, период оказания информационных услуг в отношении отдельных экземпляров Систем </w:t>
      </w:r>
      <w:proofErr w:type="spellStart"/>
      <w:r>
        <w:rPr>
          <w:sz w:val="26"/>
          <w:szCs w:val="26"/>
        </w:rPr>
        <w:t>КонсультантПлюс</w:t>
      </w:r>
      <w:proofErr w:type="spellEnd"/>
      <w:r>
        <w:rPr>
          <w:sz w:val="26"/>
          <w:szCs w:val="26"/>
        </w:rPr>
        <w:t xml:space="preserve"> может быть изменен по соглашению сторон. Время и день недели, установленные для посещения </w:t>
      </w:r>
      <w:proofErr w:type="gramStart"/>
      <w:r>
        <w:rPr>
          <w:sz w:val="26"/>
          <w:szCs w:val="26"/>
        </w:rPr>
        <w:t>специалистом Исполнителя</w:t>
      </w:r>
      <w:proofErr w:type="gramEnd"/>
      <w:r>
        <w:rPr>
          <w:sz w:val="26"/>
          <w:szCs w:val="26"/>
        </w:rPr>
        <w:t xml:space="preserve"> определяются по согласованию сторон. </w:t>
      </w:r>
      <w:r>
        <w:rPr>
          <w:spacing w:val="1"/>
          <w:sz w:val="26"/>
          <w:szCs w:val="26"/>
        </w:rPr>
        <w:t>Стоимость сопровождения не должна зависеть от частоты обновления.</w:t>
      </w:r>
    </w:p>
    <w:p w:rsidR="00C231C0" w:rsidRDefault="00DC749E">
      <w:pPr>
        <w:ind w:firstLine="567"/>
        <w:jc w:val="both"/>
        <w:rPr>
          <w:color w:val="000000"/>
          <w:spacing w:val="1"/>
          <w:sz w:val="26"/>
          <w:szCs w:val="26"/>
        </w:rPr>
      </w:pPr>
      <w:r>
        <w:rPr>
          <w:spacing w:val="1"/>
          <w:sz w:val="26"/>
          <w:szCs w:val="26"/>
        </w:rPr>
        <w:lastRenderedPageBreak/>
        <w:t xml:space="preserve">4.2. </w:t>
      </w:r>
      <w:r>
        <w:rPr>
          <w:color w:val="000000"/>
          <w:spacing w:val="1"/>
          <w:sz w:val="26"/>
          <w:szCs w:val="26"/>
        </w:rPr>
        <w:t>Оказание Заказчику текущих информационных услуг по настоящему Договору предусматривает не менее 2 (двух) визитов персонального менеджера в офис Заказчика по адресу, указанному в п. 1.1. настоящего Приложения.</w:t>
      </w:r>
    </w:p>
    <w:p w:rsidR="009E2D75" w:rsidRDefault="009E2D75">
      <w:pPr>
        <w:ind w:firstLine="567"/>
        <w:jc w:val="both"/>
        <w:rPr>
          <w:color w:val="000000"/>
          <w:spacing w:val="1"/>
          <w:sz w:val="26"/>
          <w:szCs w:val="26"/>
        </w:rPr>
      </w:pPr>
    </w:p>
    <w:p w:rsidR="009E2D75" w:rsidRPr="009E2D75" w:rsidRDefault="009E2D75" w:rsidP="009E2D75">
      <w:pPr>
        <w:pStyle w:val="a8"/>
        <w:tabs>
          <w:tab w:val="left" w:pos="1134"/>
        </w:tabs>
        <w:ind w:left="720" w:firstLine="0"/>
        <w:rPr>
          <w:b/>
          <w:sz w:val="26"/>
          <w:szCs w:val="26"/>
        </w:rPr>
      </w:pPr>
      <w:r w:rsidRPr="009E2D75">
        <w:rPr>
          <w:b/>
          <w:color w:val="000000"/>
          <w:spacing w:val="1"/>
          <w:sz w:val="26"/>
          <w:szCs w:val="26"/>
        </w:rPr>
        <w:t xml:space="preserve">5. </w:t>
      </w:r>
      <w:r w:rsidRPr="009E2D75">
        <w:rPr>
          <w:b/>
          <w:sz w:val="26"/>
          <w:szCs w:val="26"/>
        </w:rPr>
        <w:t>Обязательные требования к участнику:</w:t>
      </w:r>
    </w:p>
    <w:p w:rsidR="009E2D75" w:rsidRPr="009E2D75" w:rsidRDefault="009E2D75" w:rsidP="009E2D75">
      <w:pPr>
        <w:tabs>
          <w:tab w:val="left" w:pos="1134"/>
        </w:tabs>
        <w:ind w:firstLine="709"/>
        <w:jc w:val="both"/>
        <w:rPr>
          <w:b/>
          <w:sz w:val="26"/>
          <w:szCs w:val="26"/>
        </w:rPr>
      </w:pPr>
    </w:p>
    <w:p w:rsidR="009E2D75" w:rsidRPr="009E2D75" w:rsidRDefault="009E2D75" w:rsidP="009E2D75">
      <w:pPr>
        <w:pStyle w:val="a8"/>
        <w:tabs>
          <w:tab w:val="left" w:pos="1134"/>
        </w:tabs>
        <w:ind w:firstLine="0"/>
        <w:rPr>
          <w:b/>
          <w:sz w:val="26"/>
          <w:szCs w:val="26"/>
        </w:rPr>
      </w:pPr>
      <w:r w:rsidRPr="009E2D75">
        <w:rPr>
          <w:b/>
          <w:sz w:val="26"/>
          <w:szCs w:val="26"/>
        </w:rPr>
        <w:t xml:space="preserve">Участник должен предоставить копии документов, подтверждающих право участника на распространение и передачу третьим лицам неисключительных прав на поставляемое программное обеспечение </w:t>
      </w:r>
      <w:proofErr w:type="spellStart"/>
      <w:r w:rsidRPr="009E2D75">
        <w:rPr>
          <w:b/>
          <w:sz w:val="26"/>
          <w:szCs w:val="26"/>
        </w:rPr>
        <w:t>КонсультантПлюс</w:t>
      </w:r>
      <w:proofErr w:type="spellEnd"/>
      <w:r w:rsidRPr="009E2D75">
        <w:rPr>
          <w:b/>
          <w:sz w:val="26"/>
          <w:szCs w:val="26"/>
        </w:rPr>
        <w:t>.</w:t>
      </w:r>
    </w:p>
    <w:p w:rsidR="009E2D75" w:rsidRDefault="009E2D75">
      <w:pPr>
        <w:ind w:firstLine="567"/>
        <w:jc w:val="both"/>
        <w:rPr>
          <w:sz w:val="26"/>
          <w:szCs w:val="26"/>
        </w:rPr>
      </w:pPr>
    </w:p>
    <w:p w:rsidR="00C231C0" w:rsidRDefault="00C231C0">
      <w:pPr>
        <w:jc w:val="both"/>
        <w:rPr>
          <w:sz w:val="22"/>
          <w:szCs w:val="22"/>
        </w:rPr>
      </w:pPr>
    </w:p>
    <w:p w:rsidR="00C231C0" w:rsidRDefault="00C231C0">
      <w:pPr>
        <w:jc w:val="center"/>
        <w:rPr>
          <w:b/>
          <w:sz w:val="24"/>
          <w:szCs w:val="24"/>
        </w:rPr>
      </w:pPr>
    </w:p>
    <w:p w:rsidR="00C231C0" w:rsidRDefault="00C231C0">
      <w:bookmarkStart w:id="0" w:name="_GoBack"/>
      <w:bookmarkEnd w:id="0"/>
    </w:p>
    <w:sectPr w:rsidR="00C231C0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;Arial">
    <w:altName w:val="Times New Roman"/>
    <w:panose1 w:val="00000000000000000000"/>
    <w:charset w:val="00"/>
    <w:family w:val="roman"/>
    <w:notTrueType/>
    <w:pitch w:val="default"/>
  </w:font>
  <w:font w:name="Times New Roman;Times New Roman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0C5D"/>
    <w:multiLevelType w:val="multilevel"/>
    <w:tmpl w:val="012C4BF0"/>
    <w:lvl w:ilvl="0">
      <w:start w:val="1"/>
      <w:numFmt w:val="decimal"/>
      <w:lvlText w:val="3.%1."/>
      <w:lvlJc w:val="left"/>
      <w:pPr>
        <w:ind w:left="1287" w:hanging="360"/>
      </w:pPr>
      <w:rPr>
        <w:rFonts w:ascii="Times New Roman" w:hAnsi="Times New Roman" w:cs="Times New Roman"/>
        <w:b w:val="0"/>
        <w:color w:val="auto"/>
        <w:sz w:val="26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73C4E44"/>
    <w:multiLevelType w:val="multilevel"/>
    <w:tmpl w:val="950A3B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DA1726"/>
    <w:multiLevelType w:val="multilevel"/>
    <w:tmpl w:val="A912896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  <w:sz w:val="26"/>
        <w:szCs w:val="22"/>
      </w:rPr>
    </w:lvl>
    <w:lvl w:ilvl="1">
      <w:start w:val="1"/>
      <w:numFmt w:val="decimal"/>
      <w:lvlText w:val="%1.%2."/>
      <w:lvlJc w:val="left"/>
      <w:pPr>
        <w:ind w:left="1919" w:hanging="360"/>
      </w:pPr>
      <w:rPr>
        <w:b w:val="0"/>
        <w:sz w:val="26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C0"/>
    <w:rsid w:val="002A43F6"/>
    <w:rsid w:val="009E2D75"/>
    <w:rsid w:val="00C231C0"/>
    <w:rsid w:val="00DC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51F1E6-4A55-48A2-89B0-863F2A163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9B3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sz w:val="22"/>
      <w:szCs w:val="22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ListLabel3">
    <w:name w:val="ListLabel 3"/>
    <w:qFormat/>
    <w:rPr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b/>
      <w:sz w:val="26"/>
      <w:szCs w:val="22"/>
    </w:rPr>
  </w:style>
  <w:style w:type="character" w:customStyle="1" w:styleId="ListLabel8">
    <w:name w:val="ListLabel 8"/>
    <w:qFormat/>
    <w:rPr>
      <w:b w:val="0"/>
      <w:sz w:val="26"/>
    </w:rPr>
  </w:style>
  <w:style w:type="character" w:customStyle="1" w:styleId="ListLabel9">
    <w:name w:val="ListLabel 9"/>
    <w:qFormat/>
    <w:rPr>
      <w:sz w:val="22"/>
      <w:szCs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  <w:sz w:val="26"/>
      <w:szCs w:val="22"/>
    </w:rPr>
  </w:style>
  <w:style w:type="character" w:customStyle="1" w:styleId="ListLabel14">
    <w:name w:val="ListLabel 14"/>
    <w:qFormat/>
    <w:rPr>
      <w:b w:val="0"/>
      <w:sz w:val="26"/>
    </w:rPr>
  </w:style>
  <w:style w:type="character" w:customStyle="1" w:styleId="ListLabel15">
    <w:name w:val="ListLabel 15"/>
    <w:qFormat/>
    <w:rPr>
      <w:rFonts w:cs="Symbol"/>
      <w:sz w:val="26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b/>
      <w:sz w:val="26"/>
      <w:szCs w:val="22"/>
    </w:rPr>
  </w:style>
  <w:style w:type="character" w:customStyle="1" w:styleId="ListLabel25">
    <w:name w:val="ListLabel 25"/>
    <w:qFormat/>
    <w:rPr>
      <w:b w:val="0"/>
      <w:sz w:val="26"/>
    </w:rPr>
  </w:style>
  <w:style w:type="character" w:customStyle="1" w:styleId="ListLabel26">
    <w:name w:val="ListLabel 26"/>
    <w:qFormat/>
    <w:rPr>
      <w:rFonts w:cs="Symbol"/>
      <w:sz w:val="26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b/>
      <w:sz w:val="26"/>
      <w:szCs w:val="22"/>
    </w:rPr>
  </w:style>
  <w:style w:type="character" w:customStyle="1" w:styleId="ListLabel36">
    <w:name w:val="ListLabel 36"/>
    <w:qFormat/>
    <w:rPr>
      <w:b w:val="0"/>
      <w:sz w:val="26"/>
    </w:rPr>
  </w:style>
  <w:style w:type="character" w:customStyle="1" w:styleId="ListLabel37">
    <w:name w:val="ListLabel 37"/>
    <w:qFormat/>
    <w:rPr>
      <w:rFonts w:cs="Symbol"/>
      <w:sz w:val="26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b/>
      <w:sz w:val="26"/>
      <w:szCs w:val="22"/>
    </w:rPr>
  </w:style>
  <w:style w:type="character" w:customStyle="1" w:styleId="ListLabel47">
    <w:name w:val="ListLabel 47"/>
    <w:qFormat/>
    <w:rPr>
      <w:b w:val="0"/>
      <w:sz w:val="26"/>
    </w:rPr>
  </w:style>
  <w:style w:type="character" w:customStyle="1" w:styleId="ListLabel48">
    <w:name w:val="ListLabel 48"/>
    <w:qFormat/>
    <w:rPr>
      <w:rFonts w:cs="Symbol"/>
      <w:sz w:val="26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b/>
      <w:sz w:val="28"/>
      <w:szCs w:val="22"/>
    </w:rPr>
  </w:style>
  <w:style w:type="character" w:customStyle="1" w:styleId="ListLabel58">
    <w:name w:val="ListLabel 58"/>
    <w:qFormat/>
    <w:rPr>
      <w:b w:val="0"/>
      <w:sz w:val="26"/>
    </w:rPr>
  </w:style>
  <w:style w:type="character" w:customStyle="1" w:styleId="ListLabel59">
    <w:name w:val="ListLabel 59"/>
    <w:qFormat/>
    <w:rPr>
      <w:b/>
      <w:sz w:val="28"/>
      <w:szCs w:val="22"/>
    </w:rPr>
  </w:style>
  <w:style w:type="character" w:customStyle="1" w:styleId="ListLabel60">
    <w:name w:val="ListLabel 60"/>
    <w:qFormat/>
    <w:rPr>
      <w:b w:val="0"/>
      <w:sz w:val="26"/>
    </w:rPr>
  </w:style>
  <w:style w:type="character" w:customStyle="1" w:styleId="ListLabel61">
    <w:name w:val="ListLabel 61"/>
    <w:qFormat/>
    <w:rPr>
      <w:b/>
      <w:sz w:val="26"/>
      <w:szCs w:val="22"/>
    </w:rPr>
  </w:style>
  <w:style w:type="character" w:customStyle="1" w:styleId="ListLabel62">
    <w:name w:val="ListLabel 62"/>
    <w:qFormat/>
    <w:rPr>
      <w:b w:val="0"/>
      <w:sz w:val="26"/>
    </w:rPr>
  </w:style>
  <w:style w:type="character" w:customStyle="1" w:styleId="ListLabel63">
    <w:name w:val="ListLabel 63"/>
    <w:qFormat/>
    <w:rPr>
      <w:rFonts w:ascii="Times New Roman" w:hAnsi="Times New Roman" w:cs="Times New Roman"/>
      <w:b w:val="0"/>
      <w:color w:val="auto"/>
      <w:sz w:val="26"/>
    </w:rPr>
  </w:style>
  <w:style w:type="character" w:customStyle="1" w:styleId="ListLabel64">
    <w:name w:val="ListLabel 64"/>
    <w:qFormat/>
    <w:rPr>
      <w:b/>
      <w:sz w:val="26"/>
      <w:szCs w:val="22"/>
    </w:rPr>
  </w:style>
  <w:style w:type="character" w:customStyle="1" w:styleId="ListLabel65">
    <w:name w:val="ListLabel 65"/>
    <w:qFormat/>
    <w:rPr>
      <w:b w:val="0"/>
      <w:sz w:val="26"/>
    </w:rPr>
  </w:style>
  <w:style w:type="character" w:customStyle="1" w:styleId="ListLabel66">
    <w:name w:val="ListLabel 66"/>
    <w:qFormat/>
    <w:rPr>
      <w:rFonts w:ascii="Times New Roman" w:hAnsi="Times New Roman" w:cs="Times New Roman"/>
      <w:b w:val="0"/>
      <w:color w:val="auto"/>
      <w:sz w:val="26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Lohit Devanagari"/>
    </w:rPr>
  </w:style>
  <w:style w:type="paragraph" w:styleId="a7">
    <w:name w:val="Title"/>
    <w:basedOn w:val="a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8">
    <w:name w:val="List Paragraph"/>
    <w:basedOn w:val="a"/>
    <w:link w:val="a9"/>
    <w:uiPriority w:val="34"/>
    <w:qFormat/>
    <w:rsid w:val="002F72EE"/>
    <w:pPr>
      <w:ind w:firstLine="709"/>
      <w:contextualSpacing/>
      <w:jc w:val="both"/>
    </w:p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;Arial" w:eastAsia="Times New Roman;Times New Roman" w:hAnsi="Arial;Arial" w:cs="Arial;Arial"/>
      <w:szCs w:val="20"/>
    </w:rPr>
  </w:style>
  <w:style w:type="character" w:customStyle="1" w:styleId="a9">
    <w:name w:val="Абзац списка Знак"/>
    <w:link w:val="a8"/>
    <w:uiPriority w:val="34"/>
    <w:locked/>
    <w:rsid w:val="009E2D75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1617</Words>
  <Characters>9220</Characters>
  <Application>Microsoft Office Word</Application>
  <DocSecurity>0</DocSecurity>
  <Lines>76</Lines>
  <Paragraphs>21</Paragraphs>
  <ScaleCrop>false</ScaleCrop>
  <Company>JSC DRSK</Company>
  <LinksUpToDate>false</LinksUpToDate>
  <CharactersWithSpaces>10816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Елена Геннадьевна</dc:creator>
  <dc:description/>
  <cp:lastModifiedBy>Ирдуганова Ирина Николаевна</cp:lastModifiedBy>
  <cp:revision>9</cp:revision>
  <dcterms:created xsi:type="dcterms:W3CDTF">2018-11-12T05:37:00Z</dcterms:created>
  <dcterms:modified xsi:type="dcterms:W3CDTF">2018-12-17T08:15:00Z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JSC DRSK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