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1.1.</w:t>
      </w:r>
      <w:r w:rsidR="00B01D40">
        <w:rPr>
          <w:i/>
          <w:sz w:val="26"/>
          <w:szCs w:val="26"/>
        </w:rPr>
        <w:t>1</w:t>
      </w:r>
      <w:r>
        <w:rPr>
          <w:i/>
          <w:sz w:val="26"/>
          <w:szCs w:val="26"/>
        </w:rPr>
        <w:t>.</w:t>
      </w:r>
    </w:p>
    <w:p w:rsidR="004D1DCB" w:rsidRDefault="004D1DCB" w:rsidP="004D1DCB">
      <w:pPr>
        <w:jc w:val="right"/>
        <w:rPr>
          <w:i/>
          <w:sz w:val="26"/>
          <w:szCs w:val="26"/>
        </w:rPr>
      </w:pPr>
    </w:p>
    <w:p w:rsidR="004D1DCB" w:rsidRDefault="004D1DCB" w:rsidP="00B01D40">
      <w:pPr>
        <w:jc w:val="both"/>
        <w:rPr>
          <w:b/>
          <w:i/>
          <w:sz w:val="26"/>
          <w:szCs w:val="26"/>
        </w:rPr>
      </w:pPr>
      <w:r w:rsidRPr="004D1DCB">
        <w:rPr>
          <w:b/>
          <w:i/>
          <w:sz w:val="26"/>
          <w:szCs w:val="26"/>
        </w:rPr>
        <w:t>Технические характеристики и комплектация продукции</w:t>
      </w:r>
    </w:p>
    <w:p w:rsidR="00D64BE5" w:rsidRDefault="00D64BE5" w:rsidP="00B01D40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Привод П</w:t>
      </w:r>
      <w:r w:rsidR="001B6D3F">
        <w:rPr>
          <w:b/>
          <w:i/>
          <w:sz w:val="26"/>
          <w:szCs w:val="26"/>
        </w:rPr>
        <w:t>Э</w:t>
      </w:r>
      <w:r>
        <w:rPr>
          <w:b/>
          <w:i/>
          <w:sz w:val="26"/>
          <w:szCs w:val="26"/>
        </w:rPr>
        <w:t>-</w:t>
      </w:r>
      <w:r w:rsidR="001B6D3F">
        <w:rPr>
          <w:b/>
          <w:i/>
          <w:sz w:val="26"/>
          <w:szCs w:val="26"/>
        </w:rPr>
        <w:t>11</w:t>
      </w:r>
      <w:bookmarkStart w:id="0" w:name="_GoBack"/>
      <w:bookmarkEnd w:id="0"/>
      <w:r>
        <w:rPr>
          <w:b/>
          <w:i/>
          <w:sz w:val="26"/>
          <w:szCs w:val="26"/>
        </w:rPr>
        <w:t xml:space="preserve"> для </w:t>
      </w:r>
      <w:r w:rsidR="00B01D40" w:rsidRPr="00B01D40">
        <w:rPr>
          <w:b/>
          <w:i/>
          <w:sz w:val="26"/>
          <w:szCs w:val="26"/>
        </w:rPr>
        <w:t>филиала АО «ДРСК» «Амурские ЭС» для СП «З</w:t>
      </w:r>
      <w:r w:rsidR="00B01D40">
        <w:rPr>
          <w:b/>
          <w:i/>
          <w:sz w:val="26"/>
          <w:szCs w:val="26"/>
        </w:rPr>
        <w:t xml:space="preserve">ападные </w:t>
      </w:r>
      <w:r w:rsidR="00B01D40" w:rsidRPr="00B01D40">
        <w:rPr>
          <w:b/>
          <w:i/>
          <w:sz w:val="26"/>
          <w:szCs w:val="26"/>
        </w:rPr>
        <w:t>ЭС».</w:t>
      </w:r>
    </w:p>
    <w:p w:rsidR="00AB5C1E" w:rsidRDefault="00AB5C1E" w:rsidP="00B01D40">
      <w:pPr>
        <w:jc w:val="both"/>
        <w:rPr>
          <w:b/>
          <w:i/>
          <w:sz w:val="26"/>
          <w:szCs w:val="26"/>
        </w:rPr>
      </w:pPr>
    </w:p>
    <w:tbl>
      <w:tblPr>
        <w:tblpPr w:leftFromText="181" w:rightFromText="181" w:vertAnchor="tex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b/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Наименование характеристики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b/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Параметр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Номинальное напряжение (</w:t>
            </w:r>
            <w:proofErr w:type="gramStart"/>
            <w:r w:rsidRPr="00143D42">
              <w:rPr>
                <w:sz w:val="24"/>
                <w:szCs w:val="26"/>
                <w:lang w:val="en-US"/>
              </w:rPr>
              <w:t>U</w:t>
            </w:r>
            <w:proofErr w:type="gramEnd"/>
            <w:r w:rsidRPr="00143D42">
              <w:rPr>
                <w:sz w:val="24"/>
                <w:szCs w:val="26"/>
                <w:vertAlign w:val="subscript"/>
              </w:rPr>
              <w:t>ном</w:t>
            </w:r>
            <w:r w:rsidRPr="00143D42">
              <w:rPr>
                <w:sz w:val="24"/>
                <w:szCs w:val="26"/>
              </w:rPr>
              <w:t>) постоянного тока электромагнита, В</w:t>
            </w:r>
          </w:p>
          <w:p w:rsidR="00B01D40" w:rsidRPr="00143D42" w:rsidRDefault="00B01D40" w:rsidP="00DB74B5">
            <w:pPr>
              <w:rPr>
                <w:b/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Включения</w:t>
            </w:r>
          </w:p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Отключения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220</w:t>
            </w: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220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 xml:space="preserve">Напряжение оперативной работы привода на зажимах обмоток электромагнита, % </w:t>
            </w:r>
            <w:proofErr w:type="gramStart"/>
            <w:r w:rsidRPr="00143D42">
              <w:rPr>
                <w:sz w:val="24"/>
                <w:szCs w:val="26"/>
              </w:rPr>
              <w:t>от</w:t>
            </w:r>
            <w:proofErr w:type="gramEnd"/>
            <w:r w:rsidRPr="00143D42">
              <w:rPr>
                <w:sz w:val="24"/>
                <w:szCs w:val="26"/>
              </w:rPr>
              <w:t xml:space="preserve"> номинального</w:t>
            </w:r>
          </w:p>
          <w:p w:rsidR="00B01D40" w:rsidRPr="00143D42" w:rsidRDefault="00B01D40" w:rsidP="00DB74B5">
            <w:pPr>
              <w:rPr>
                <w:b/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Включения</w:t>
            </w:r>
          </w:p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Отключения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85-110</w:t>
            </w: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65-120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 xml:space="preserve">Потребляемый ток обмоток электромагнита при </w:t>
            </w:r>
            <w:proofErr w:type="gramStart"/>
            <w:r w:rsidRPr="00143D42">
              <w:rPr>
                <w:sz w:val="24"/>
                <w:szCs w:val="26"/>
                <w:lang w:val="en-US"/>
              </w:rPr>
              <w:t>U</w:t>
            </w:r>
            <w:proofErr w:type="gramEnd"/>
            <w:r w:rsidRPr="00143D42">
              <w:rPr>
                <w:sz w:val="24"/>
                <w:szCs w:val="26"/>
                <w:vertAlign w:val="subscript"/>
              </w:rPr>
              <w:t>ном</w:t>
            </w:r>
            <w:r w:rsidRPr="00143D42">
              <w:rPr>
                <w:sz w:val="24"/>
                <w:szCs w:val="26"/>
              </w:rPr>
              <w:t>, А</w:t>
            </w:r>
          </w:p>
          <w:p w:rsidR="00B01D40" w:rsidRPr="00143D42" w:rsidRDefault="00B01D40" w:rsidP="00DB74B5">
            <w:pPr>
              <w:rPr>
                <w:b/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Включения</w:t>
            </w:r>
          </w:p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Отключения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60</w:t>
            </w: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1,25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Сопротивление обмоток электромагнита, Ом</w:t>
            </w:r>
          </w:p>
          <w:p w:rsidR="00B01D40" w:rsidRPr="00143D42" w:rsidRDefault="00B01D40" w:rsidP="00DB74B5">
            <w:pPr>
              <w:rPr>
                <w:b/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Включения</w:t>
            </w:r>
          </w:p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b/>
                <w:sz w:val="24"/>
                <w:szCs w:val="26"/>
              </w:rPr>
              <w:t>Отключения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3</w:t>
            </w: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176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Минимальное напряжение включающего электромагнита, В не более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145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Количество коммутирующих контактов для внешних вспомогательных цепей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10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Отключаемый ток коммутирующих контактов, А при 220 В постоянного тока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1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 xml:space="preserve">Испытательное напряжение цепей вторичной коммутации, </w:t>
            </w:r>
            <w:proofErr w:type="spellStart"/>
            <w:r w:rsidRPr="00143D42">
              <w:rPr>
                <w:sz w:val="24"/>
                <w:szCs w:val="26"/>
              </w:rPr>
              <w:t>кВ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</w:p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2,2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 xml:space="preserve">Масса, </w:t>
            </w:r>
            <w:proofErr w:type="gramStart"/>
            <w:r w:rsidRPr="00143D42">
              <w:rPr>
                <w:sz w:val="24"/>
                <w:szCs w:val="26"/>
              </w:rPr>
              <w:t>кг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48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 xml:space="preserve">Габариты, </w:t>
            </w:r>
            <w:proofErr w:type="gramStart"/>
            <w:r w:rsidRPr="00143D42">
              <w:rPr>
                <w:sz w:val="24"/>
                <w:szCs w:val="26"/>
              </w:rPr>
              <w:t>мм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390×324×462</w:t>
            </w:r>
          </w:p>
        </w:tc>
      </w:tr>
      <w:tr w:rsidR="00B01D40" w:rsidRPr="00143D42" w:rsidTr="00DB74B5">
        <w:tc>
          <w:tcPr>
            <w:tcW w:w="4785" w:type="dxa"/>
            <w:shd w:val="clear" w:color="auto" w:fill="auto"/>
          </w:tcPr>
          <w:p w:rsidR="00B01D40" w:rsidRPr="00143D42" w:rsidRDefault="00B01D40" w:rsidP="00DB74B5">
            <w:pPr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Тип контактора</w:t>
            </w:r>
          </w:p>
        </w:tc>
        <w:tc>
          <w:tcPr>
            <w:tcW w:w="4786" w:type="dxa"/>
            <w:shd w:val="clear" w:color="auto" w:fill="auto"/>
          </w:tcPr>
          <w:p w:rsidR="00B01D40" w:rsidRPr="00143D42" w:rsidRDefault="00B01D40" w:rsidP="00DB74B5">
            <w:pPr>
              <w:jc w:val="center"/>
              <w:rPr>
                <w:sz w:val="24"/>
                <w:szCs w:val="26"/>
              </w:rPr>
            </w:pPr>
            <w:r w:rsidRPr="00143D42">
              <w:rPr>
                <w:sz w:val="24"/>
                <w:szCs w:val="26"/>
              </w:rPr>
              <w:t>МК2-20 БУ3 220В 63 А</w:t>
            </w:r>
          </w:p>
        </w:tc>
      </w:tr>
    </w:tbl>
    <w:p w:rsidR="00B01D40" w:rsidRDefault="00B01D40" w:rsidP="004D1DCB">
      <w:pPr>
        <w:jc w:val="center"/>
        <w:rPr>
          <w:b/>
          <w:i/>
          <w:sz w:val="26"/>
          <w:szCs w:val="26"/>
        </w:rPr>
      </w:pPr>
    </w:p>
    <w:p w:rsidR="00AB5C1E" w:rsidRDefault="00AB5C1E" w:rsidP="00AB5C1E">
      <w:pPr>
        <w:pStyle w:val="a5"/>
        <w:ind w:left="0"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требования:</w:t>
      </w:r>
    </w:p>
    <w:p w:rsidR="00AB5C1E" w:rsidRDefault="00AB5C1E" w:rsidP="00AB5C1E">
      <w:pPr>
        <w:pStyle w:val="a5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Оборудование должно иметь декларацию соответствия ГОСТ, ТУ в соответствии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:</w:t>
      </w:r>
    </w:p>
    <w:p w:rsidR="00AB5C1E" w:rsidRDefault="00AB5C1E" w:rsidP="00AB5C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 Федеральным Законом от 27.12.2002 г. № 184-ФЗ «О техническом регулировании».</w:t>
      </w:r>
    </w:p>
    <w:p w:rsidR="00AB5C1E" w:rsidRDefault="00AB5C1E" w:rsidP="00AB5C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Постановлением Правительства РФ от 01.12.2009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</w:t>
      </w:r>
    </w:p>
    <w:p w:rsidR="00AB5C1E" w:rsidRDefault="00AB5C1E" w:rsidP="00AB5C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Предоставить отсканированные копии:</w:t>
      </w:r>
    </w:p>
    <w:p w:rsidR="00AB5C1E" w:rsidRDefault="00AB5C1E" w:rsidP="00AB5C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деклараций соответствия </w:t>
      </w:r>
    </w:p>
    <w:p w:rsidR="00AB5C1E" w:rsidRPr="007232F8" w:rsidRDefault="00AB5C1E" w:rsidP="00AB5C1E">
      <w:pPr>
        <w:ind w:firstLine="708"/>
        <w:jc w:val="both"/>
        <w:rPr>
          <w:sz w:val="26"/>
          <w:szCs w:val="26"/>
        </w:rPr>
      </w:pPr>
      <w:r w:rsidRPr="007232F8">
        <w:rPr>
          <w:sz w:val="26"/>
          <w:szCs w:val="26"/>
        </w:rPr>
        <w:t xml:space="preserve">ГОСТ </w:t>
      </w:r>
      <w:proofErr w:type="gramStart"/>
      <w:r w:rsidRPr="007232F8">
        <w:rPr>
          <w:sz w:val="26"/>
          <w:szCs w:val="26"/>
        </w:rPr>
        <w:t>Р</w:t>
      </w:r>
      <w:proofErr w:type="gramEnd"/>
      <w:r w:rsidRPr="007232F8">
        <w:rPr>
          <w:sz w:val="26"/>
          <w:szCs w:val="26"/>
        </w:rPr>
        <w:t xml:space="preserve"> 52565-2006 Выключатели переменного тока на напряжения от 3 до 750 </w:t>
      </w:r>
      <w:proofErr w:type="spellStart"/>
      <w:r w:rsidRPr="007232F8">
        <w:rPr>
          <w:sz w:val="26"/>
          <w:szCs w:val="26"/>
        </w:rPr>
        <w:t>кВ.</w:t>
      </w:r>
      <w:proofErr w:type="spellEnd"/>
      <w:r w:rsidRPr="007232F8">
        <w:rPr>
          <w:sz w:val="26"/>
          <w:szCs w:val="26"/>
        </w:rPr>
        <w:t xml:space="preserve"> Общие технические условия (Пп.6.12.6.1, 6.12.6.2, 6.12.6.3);</w:t>
      </w:r>
    </w:p>
    <w:p w:rsidR="00AB5C1E" w:rsidRDefault="00AB5C1E" w:rsidP="00AB5C1E">
      <w:pPr>
        <w:pStyle w:val="a5"/>
        <w:ind w:left="0" w:firstLine="708"/>
        <w:jc w:val="both"/>
        <w:rPr>
          <w:sz w:val="26"/>
          <w:szCs w:val="26"/>
        </w:rPr>
      </w:pPr>
      <w:r w:rsidRPr="007232F8">
        <w:rPr>
          <w:sz w:val="26"/>
          <w:szCs w:val="26"/>
        </w:rPr>
        <w:t xml:space="preserve">- ТУ в соответствии, с </w:t>
      </w:r>
      <w:proofErr w:type="gramStart"/>
      <w:r w:rsidRPr="007232F8">
        <w:rPr>
          <w:sz w:val="26"/>
          <w:szCs w:val="26"/>
        </w:rPr>
        <w:t>которыми</w:t>
      </w:r>
      <w:proofErr w:type="gramEnd"/>
      <w:r w:rsidRPr="007232F8">
        <w:rPr>
          <w:sz w:val="26"/>
          <w:szCs w:val="26"/>
        </w:rPr>
        <w:t xml:space="preserve"> выпускается оборудование.</w:t>
      </w:r>
    </w:p>
    <w:p w:rsidR="004D1DCB" w:rsidRPr="004D1DCB" w:rsidRDefault="004D1DCB">
      <w:pPr>
        <w:rPr>
          <w:sz w:val="22"/>
          <w:szCs w:val="22"/>
        </w:rPr>
      </w:pPr>
    </w:p>
    <w:sectPr w:rsidR="004D1DCB" w:rsidRPr="004D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43D42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B6D3F"/>
    <w:rsid w:val="001C4692"/>
    <w:rsid w:val="001C6624"/>
    <w:rsid w:val="001C72B5"/>
    <w:rsid w:val="001D252A"/>
    <w:rsid w:val="001D6606"/>
    <w:rsid w:val="001F2293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B5C1E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1D40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qFormat/>
    <w:rsid w:val="00AB5C1E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qFormat/>
    <w:rsid w:val="00AB5C1E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1381</Characters>
  <Application>Microsoft Office Word</Application>
  <DocSecurity>0</DocSecurity>
  <Lines>11</Lines>
  <Paragraphs>3</Paragraphs>
  <ScaleCrop>false</ScaleCrop>
  <Company>JSC DRSK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8</cp:revision>
  <dcterms:created xsi:type="dcterms:W3CDTF">2017-09-19T02:31:00Z</dcterms:created>
  <dcterms:modified xsi:type="dcterms:W3CDTF">2018-10-03T03:43:00Z</dcterms:modified>
</cp:coreProperties>
</file>