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08660E">
        <w:rPr>
          <w:color w:val="000000"/>
          <w:sz w:val="22"/>
          <w:szCs w:val="22"/>
        </w:rPr>
        <w:t>спецификации</w:t>
      </w:r>
      <w:r w:rsidR="00F31D97" w:rsidRPr="00255086">
        <w:rPr>
          <w:color w:val="000000"/>
          <w:sz w:val="22"/>
          <w:szCs w:val="22"/>
        </w:rPr>
        <w:t xml:space="preserve"> №</w:t>
      </w:r>
      <w:r w:rsidR="0008660E">
        <w:rPr>
          <w:color w:val="000000"/>
          <w:sz w:val="22"/>
          <w:szCs w:val="22"/>
        </w:rPr>
        <w:t>1</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08660E">
        <w:rPr>
          <w:color w:val="000000"/>
          <w:sz w:val="22"/>
          <w:szCs w:val="22"/>
        </w:rPr>
        <w:t>ей</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 xml:space="preserve">1 </w:t>
      </w:r>
      <w:r w:rsidRPr="00255086">
        <w:rPr>
          <w:color w:val="000000"/>
          <w:sz w:val="22"/>
          <w:szCs w:val="22"/>
        </w:rPr>
        <w:t xml:space="preserve">к настоящему договору.  </w:t>
      </w:r>
    </w:p>
    <w:p w:rsidR="00436EE9" w:rsidRPr="00436EE9"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08660E">
        <w:rPr>
          <w:color w:val="000000"/>
          <w:sz w:val="22"/>
          <w:szCs w:val="22"/>
        </w:rPr>
        <w:t xml:space="preserve">, указанным в Приложении </w:t>
      </w:r>
      <w:r w:rsidR="00A01AB0" w:rsidRPr="00255086">
        <w:rPr>
          <w:color w:val="000000"/>
          <w:sz w:val="22"/>
          <w:szCs w:val="22"/>
        </w:rPr>
        <w:t xml:space="preserve">№ </w:t>
      </w:r>
      <w:r w:rsidR="0008660E">
        <w:rPr>
          <w:color w:val="000000"/>
          <w:sz w:val="22"/>
          <w:szCs w:val="22"/>
        </w:rPr>
        <w:t>1.</w:t>
      </w:r>
    </w:p>
    <w:p w:rsidR="00A01AB0" w:rsidRPr="00436EE9" w:rsidRDefault="00436EE9" w:rsidP="00436EE9">
      <w:pPr>
        <w:shd w:val="clear" w:color="auto" w:fill="FFFFFF"/>
        <w:tabs>
          <w:tab w:val="left" w:pos="709"/>
        </w:tabs>
        <w:ind w:right="17"/>
        <w:rPr>
          <w:sz w:val="22"/>
          <w:szCs w:val="22"/>
        </w:rPr>
      </w:pPr>
      <w:r w:rsidRPr="00436EE9">
        <w:rPr>
          <w:b/>
          <w:color w:val="000000"/>
          <w:sz w:val="22"/>
          <w:szCs w:val="22"/>
        </w:rPr>
        <w:t xml:space="preserve">     </w:t>
      </w: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 xml:space="preserve">ополучателем (филиал АО «ДРСК» </w:t>
      </w:r>
      <w:r w:rsidR="00F31D97">
        <w:rPr>
          <w:color w:val="000000"/>
          <w:sz w:val="22"/>
          <w:szCs w:val="22"/>
        </w:rPr>
        <w:t>«</w:t>
      </w:r>
      <w:r w:rsidR="00436EE9">
        <w:rPr>
          <w:color w:val="000000"/>
          <w:sz w:val="22"/>
          <w:szCs w:val="22"/>
        </w:rPr>
        <w:t>Амурские</w:t>
      </w:r>
      <w:r w:rsidR="0008660E">
        <w:rPr>
          <w:color w:val="000000"/>
          <w:sz w:val="22"/>
          <w:szCs w:val="22"/>
        </w:rPr>
        <w:t xml:space="preserve">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55086" w:rsidRDefault="002C78E9" w:rsidP="008E69C6">
      <w:pPr>
        <w:pStyle w:val="11"/>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255086">
        <w:rPr>
          <w:color w:val="000000"/>
          <w:sz w:val="22"/>
          <w:szCs w:val="22"/>
        </w:rPr>
        <w:t xml:space="preserve">Срок поставки </w:t>
      </w:r>
      <w:r w:rsidR="000E7C62" w:rsidRPr="00255086">
        <w:rPr>
          <w:color w:val="000000"/>
          <w:sz w:val="22"/>
          <w:szCs w:val="22"/>
        </w:rPr>
        <w:t>оборудования</w:t>
      </w:r>
      <w:r w:rsidR="00F31D97">
        <w:rPr>
          <w:color w:val="000000"/>
          <w:sz w:val="22"/>
          <w:szCs w:val="22"/>
        </w:rPr>
        <w:t xml:space="preserve"> </w:t>
      </w:r>
      <w:r w:rsidR="0008660E">
        <w:rPr>
          <w:b/>
          <w:i/>
          <w:sz w:val="23"/>
          <w:szCs w:val="23"/>
        </w:rPr>
        <w:t>до 30.06.2019</w:t>
      </w:r>
    </w:p>
    <w:p w:rsidR="002C78E9"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255086">
        <w:rPr>
          <w:color w:val="000000"/>
          <w:sz w:val="22"/>
          <w:szCs w:val="22"/>
        </w:rPr>
        <w:t xml:space="preserve">Упаковка </w:t>
      </w:r>
      <w:r w:rsidR="00115E3D" w:rsidRPr="00255086">
        <w:rPr>
          <w:color w:val="000000"/>
          <w:sz w:val="22"/>
          <w:szCs w:val="22"/>
        </w:rPr>
        <w:t xml:space="preserve">(тара) </w:t>
      </w:r>
      <w:r w:rsidR="000E7C62" w:rsidRPr="00255086">
        <w:rPr>
          <w:color w:val="000000"/>
          <w:sz w:val="22"/>
          <w:szCs w:val="22"/>
        </w:rPr>
        <w:t>оборудования</w:t>
      </w:r>
      <w:r w:rsidRPr="00255086">
        <w:rPr>
          <w:color w:val="000000"/>
          <w:sz w:val="22"/>
          <w:szCs w:val="22"/>
        </w:rPr>
        <w:t xml:space="preserve"> должна </w:t>
      </w:r>
      <w:r w:rsidR="00C03AE6" w:rsidRPr="00255086">
        <w:rPr>
          <w:color w:val="000000"/>
          <w:sz w:val="22"/>
          <w:szCs w:val="22"/>
        </w:rPr>
        <w:t>соответствовать типу</w:t>
      </w:r>
      <w:r w:rsidR="00115E3D" w:rsidRPr="00255086">
        <w:rPr>
          <w:color w:val="000000"/>
          <w:sz w:val="22"/>
          <w:szCs w:val="22"/>
        </w:rPr>
        <w:t xml:space="preserve"> оборудования</w:t>
      </w:r>
      <w:r w:rsidRPr="00255086">
        <w:rPr>
          <w:color w:val="000000"/>
          <w:sz w:val="22"/>
          <w:szCs w:val="22"/>
        </w:rPr>
        <w:t xml:space="preserve">  и обеспечивать </w:t>
      </w:r>
      <w:r w:rsidR="00115E3D" w:rsidRPr="00255086">
        <w:rPr>
          <w:color w:val="000000"/>
          <w:sz w:val="22"/>
          <w:szCs w:val="22"/>
        </w:rPr>
        <w:t xml:space="preserve">его </w:t>
      </w:r>
      <w:r w:rsidRPr="00255086">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t xml:space="preserve"> используемым,</w:t>
      </w:r>
      <w:r w:rsidRPr="00255086">
        <w:rPr>
          <w:sz w:val="22"/>
          <w:szCs w:val="22"/>
        </w:rPr>
        <w:t xml:space="preserve"> </w:t>
      </w:r>
      <w:r w:rsidR="00436EE9" w:rsidRPr="00255086">
        <w:rPr>
          <w:sz w:val="22"/>
          <w:szCs w:val="22"/>
        </w:rPr>
        <w:t xml:space="preserve">иметь </w:t>
      </w:r>
      <w:r w:rsidR="00436EE9">
        <w:rPr>
          <w:sz w:val="22"/>
          <w:szCs w:val="22"/>
        </w:rPr>
        <w:t>декларации</w:t>
      </w:r>
      <w:r w:rsidR="00DC2D56">
        <w:rPr>
          <w:sz w:val="22"/>
          <w:szCs w:val="22"/>
        </w:rPr>
        <w:t xml:space="preserve"> </w:t>
      </w:r>
      <w:r>
        <w:rPr>
          <w:sz w:val="22"/>
          <w:szCs w:val="22"/>
        </w:rPr>
        <w:t>соответствия ГОСТу,</w:t>
      </w:r>
      <w:r w:rsidR="00DC2D56">
        <w:rPr>
          <w:sz w:val="22"/>
          <w:szCs w:val="22"/>
        </w:rPr>
        <w:t xml:space="preserve"> ТУ,</w:t>
      </w:r>
      <w:r>
        <w:rPr>
          <w:sz w:val="22"/>
          <w:szCs w:val="22"/>
        </w:rPr>
        <w:t xml:space="preserve"> действующему на территории РФ</w:t>
      </w:r>
      <w:r w:rsidR="00E957EA" w:rsidRPr="00255086">
        <w:rPr>
          <w:sz w:val="22"/>
          <w:szCs w:val="22"/>
        </w:rPr>
        <w:t>.</w:t>
      </w:r>
    </w:p>
    <w:p w:rsidR="00DC2D56" w:rsidRDefault="00DC2D56" w:rsidP="00DC2D56">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60 месяцев). Время начала исчисления гарантийного срока – с момента ввода оборудования в эксплуатацию, но не более 72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8D7806" w:rsidRDefault="00DC2D56" w:rsidP="008D7806">
      <w:pPr>
        <w:ind w:firstLine="567"/>
        <w:rPr>
          <w:color w:val="000000"/>
          <w:sz w:val="22"/>
          <w:szCs w:val="22"/>
        </w:rPr>
      </w:pPr>
      <w:r>
        <w:rPr>
          <w:color w:val="000000"/>
          <w:sz w:val="22"/>
          <w:szCs w:val="22"/>
        </w:rPr>
        <w:tab/>
      </w:r>
      <w:r w:rsidRPr="00DC2D56">
        <w:rPr>
          <w:color w:val="000000"/>
          <w:sz w:val="22"/>
          <w:szCs w:val="22"/>
        </w:rPr>
        <w:t xml:space="preserve">Гарантия на защиту от коррозии, при отсутствии механических повреждений - _____ </w:t>
      </w:r>
      <w:r>
        <w:rPr>
          <w:color w:val="000000"/>
          <w:sz w:val="22"/>
          <w:szCs w:val="22"/>
        </w:rPr>
        <w:t>месяцев</w:t>
      </w:r>
      <w:r w:rsidRPr="00DC2D56">
        <w:rPr>
          <w:color w:val="000000"/>
          <w:sz w:val="22"/>
          <w:szCs w:val="22"/>
        </w:rPr>
        <w:t xml:space="preserve"> (в соответствии с предложением участника, но не менее </w:t>
      </w:r>
      <w:r>
        <w:rPr>
          <w:color w:val="000000"/>
          <w:sz w:val="22"/>
          <w:szCs w:val="22"/>
        </w:rPr>
        <w:t>120</w:t>
      </w:r>
      <w:r w:rsidRPr="00DC2D56">
        <w:rPr>
          <w:color w:val="000000"/>
          <w:sz w:val="22"/>
          <w:szCs w:val="22"/>
        </w:rPr>
        <w:t xml:space="preserve"> </w:t>
      </w:r>
      <w:r>
        <w:rPr>
          <w:color w:val="000000"/>
          <w:sz w:val="22"/>
          <w:szCs w:val="22"/>
        </w:rPr>
        <w:t>месяцев</w:t>
      </w:r>
      <w:r w:rsidRPr="00DC2D56">
        <w:rPr>
          <w:color w:val="000000"/>
          <w:sz w:val="22"/>
          <w:szCs w:val="22"/>
        </w:rPr>
        <w:t xml:space="preserve">) с момента ввода оборудования в эксплуатацию, но не более </w:t>
      </w:r>
      <w:r>
        <w:rPr>
          <w:color w:val="000000"/>
          <w:sz w:val="22"/>
          <w:szCs w:val="22"/>
        </w:rPr>
        <w:t>132 месяцев</w:t>
      </w:r>
      <w:r w:rsidRPr="00DC2D56">
        <w:rPr>
          <w:color w:val="000000"/>
          <w:sz w:val="22"/>
          <w:szCs w:val="22"/>
        </w:rPr>
        <w:t xml:space="preserve"> с момента поставки.</w:t>
      </w:r>
      <w:r w:rsidR="008D7806">
        <w:rPr>
          <w:color w:val="000000"/>
          <w:sz w:val="22"/>
          <w:szCs w:val="22"/>
        </w:rPr>
        <w:t xml:space="preserve"> </w:t>
      </w:r>
      <w:r w:rsidRPr="00DC2D56">
        <w:rPr>
          <w:color w:val="000000"/>
          <w:sz w:val="22"/>
          <w:szCs w:val="22"/>
        </w:rPr>
        <w:t xml:space="preserve"> </w:t>
      </w:r>
    </w:p>
    <w:p w:rsidR="00C859D3" w:rsidRPr="008D7806" w:rsidRDefault="008D7806" w:rsidP="008D7806">
      <w:pPr>
        <w:ind w:firstLine="567"/>
        <w:rPr>
          <w:sz w:val="23"/>
        </w:rPr>
      </w:pPr>
      <w:r>
        <w:rPr>
          <w:color w:val="000000"/>
          <w:sz w:val="22"/>
          <w:szCs w:val="22"/>
        </w:rPr>
        <w:t xml:space="preserve">  </w:t>
      </w:r>
      <w:r w:rsidRPr="008D7806">
        <w:rPr>
          <w:sz w:val="23"/>
        </w:rPr>
        <w:t>Антикоррозийная защита металлоконструкций блоков должна быть выполнена методом горячего либо термодиффузионного оцинкования.</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w:t>
      </w:r>
      <w:r w:rsidR="002C78E9" w:rsidRPr="00255086">
        <w:rPr>
          <w:color w:val="000000"/>
          <w:sz w:val="22"/>
          <w:szCs w:val="22"/>
        </w:rPr>
        <w:lastRenderedPageBreak/>
        <w:t>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t>3.5</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C23E60" w:rsidRPr="008D7806" w:rsidRDefault="00C23E60" w:rsidP="00C859D3">
      <w:pPr>
        <w:tabs>
          <w:tab w:val="left" w:pos="0"/>
          <w:tab w:val="left" w:pos="851"/>
        </w:tabs>
        <w:ind w:firstLine="284"/>
        <w:rPr>
          <w:color w:val="000000"/>
          <w:sz w:val="22"/>
          <w:szCs w:val="22"/>
        </w:rPr>
      </w:pPr>
      <w:r w:rsidRPr="008D7806">
        <w:rPr>
          <w:b/>
          <w:color w:val="000000"/>
          <w:sz w:val="22"/>
          <w:szCs w:val="22"/>
        </w:rPr>
        <w:t>3.13.</w:t>
      </w:r>
      <w:r w:rsidRPr="008D7806">
        <w:rPr>
          <w:color w:val="000000"/>
          <w:sz w:val="22"/>
          <w:szCs w:val="22"/>
        </w:rPr>
        <w:t xml:space="preserve"> Предусмотреть упаковку, исключающую возможность механического повреждения оборудования в процессе доставки. </w:t>
      </w:r>
    </w:p>
    <w:p w:rsidR="00C23E60" w:rsidRPr="008D7806" w:rsidRDefault="00C23E60" w:rsidP="00C859D3">
      <w:pPr>
        <w:tabs>
          <w:tab w:val="left" w:pos="0"/>
          <w:tab w:val="left" w:pos="851"/>
        </w:tabs>
        <w:ind w:firstLine="284"/>
        <w:rPr>
          <w:color w:val="000000"/>
          <w:sz w:val="22"/>
          <w:szCs w:val="22"/>
        </w:rPr>
      </w:pPr>
      <w:r w:rsidRPr="008D7806">
        <w:rPr>
          <w:b/>
          <w:color w:val="000000"/>
          <w:sz w:val="22"/>
          <w:szCs w:val="22"/>
        </w:rPr>
        <w:t>3.14.</w:t>
      </w:r>
      <w:r w:rsidRPr="008D7806">
        <w:rPr>
          <w:color w:val="000000"/>
          <w:sz w:val="22"/>
          <w:szCs w:val="22"/>
        </w:rPr>
        <w:t xml:space="preserve"> </w:t>
      </w:r>
      <w:r w:rsidR="00E36B53" w:rsidRPr="008D7806">
        <w:rPr>
          <w:color w:val="000000"/>
          <w:sz w:val="22"/>
          <w:szCs w:val="22"/>
        </w:rPr>
        <w:t>Дополнительно в комплект поставки включить датчики тока утечки ДТУ-03 к ОПН – 35, зажимы АШМ-12-1-6шт. для силовых трансформаторов.</w:t>
      </w:r>
    </w:p>
    <w:p w:rsidR="008D7806" w:rsidRPr="008D7806" w:rsidRDefault="008D7806" w:rsidP="00C859D3">
      <w:pPr>
        <w:tabs>
          <w:tab w:val="left" w:pos="0"/>
          <w:tab w:val="left" w:pos="851"/>
        </w:tabs>
        <w:ind w:firstLine="284"/>
        <w:rPr>
          <w:color w:val="000000"/>
          <w:sz w:val="22"/>
          <w:szCs w:val="22"/>
        </w:rPr>
      </w:pPr>
      <w:r w:rsidRPr="008D7806">
        <w:rPr>
          <w:b/>
          <w:sz w:val="23"/>
          <w:szCs w:val="23"/>
        </w:rPr>
        <w:t>3.15</w:t>
      </w:r>
      <w:r w:rsidRPr="008D7806">
        <w:rPr>
          <w:sz w:val="23"/>
          <w:szCs w:val="23"/>
        </w:rPr>
        <w:t>.Дополнительно в комплект поставки включить съемные защитные ограждения для безопасного обслуживания выключателя.</w:t>
      </w:r>
    </w:p>
    <w:p w:rsidR="00E36B53" w:rsidRPr="008D7806" w:rsidRDefault="008D7806" w:rsidP="00C859D3">
      <w:pPr>
        <w:tabs>
          <w:tab w:val="left" w:pos="0"/>
          <w:tab w:val="left" w:pos="851"/>
        </w:tabs>
        <w:ind w:firstLine="284"/>
        <w:rPr>
          <w:b/>
          <w:color w:val="000000"/>
          <w:sz w:val="22"/>
          <w:szCs w:val="22"/>
        </w:rPr>
      </w:pPr>
      <w:r w:rsidRPr="008D7806">
        <w:rPr>
          <w:b/>
          <w:color w:val="000000"/>
          <w:sz w:val="22"/>
          <w:szCs w:val="22"/>
        </w:rPr>
        <w:t>3.16</w:t>
      </w:r>
      <w:r w:rsidR="00E36B53" w:rsidRPr="008D7806">
        <w:rPr>
          <w:b/>
          <w:color w:val="000000"/>
          <w:sz w:val="22"/>
          <w:szCs w:val="22"/>
        </w:rPr>
        <w:t>.</w:t>
      </w:r>
      <w:r w:rsidR="00E36B53" w:rsidRPr="008D7806">
        <w:rPr>
          <w:sz w:val="23"/>
        </w:rPr>
        <w:t xml:space="preserve"> Поставляемые блоки должны быть высокой заводской готовности, позволяющей минимизировать трудозатраты и время на их монтаж и наладку. Основное оборудование и вспомогательные элементы, входящие в состав блоков, в транспортном состоянии должны быть установлены на штатные места крепления, осуществлена прокладка и подключение силовых и вторичных цепей в пределах блока</w:t>
      </w:r>
    </w:p>
    <w:p w:rsidR="008E69C6" w:rsidRPr="008D7806" w:rsidRDefault="008D7806" w:rsidP="00C859D3">
      <w:pPr>
        <w:tabs>
          <w:tab w:val="left" w:pos="0"/>
          <w:tab w:val="left" w:pos="851"/>
        </w:tabs>
        <w:ind w:firstLine="284"/>
        <w:rPr>
          <w:color w:val="000000"/>
          <w:sz w:val="22"/>
          <w:szCs w:val="22"/>
        </w:rPr>
      </w:pPr>
      <w:r w:rsidRPr="008D7806">
        <w:rPr>
          <w:b/>
          <w:color w:val="000000"/>
          <w:sz w:val="22"/>
          <w:szCs w:val="22"/>
        </w:rPr>
        <w:t>3.17</w:t>
      </w:r>
      <w:r w:rsidR="008E69C6" w:rsidRPr="008D7806">
        <w:rPr>
          <w:b/>
          <w:color w:val="000000"/>
          <w:sz w:val="22"/>
          <w:szCs w:val="22"/>
        </w:rPr>
        <w:t xml:space="preserve">. </w:t>
      </w:r>
      <w:r w:rsidR="008E69C6" w:rsidRPr="008D7806">
        <w:rPr>
          <w:color w:val="000000"/>
          <w:sz w:val="22"/>
          <w:szCs w:val="22"/>
        </w:rPr>
        <w:t>К комплекту поставки приложить следующий объем необходимой документации:</w:t>
      </w:r>
    </w:p>
    <w:p w:rsidR="008E69C6" w:rsidRPr="008D7806" w:rsidRDefault="008E69C6" w:rsidP="00C859D3">
      <w:pPr>
        <w:tabs>
          <w:tab w:val="left" w:pos="0"/>
          <w:tab w:val="left" w:pos="851"/>
        </w:tabs>
        <w:ind w:firstLine="284"/>
        <w:rPr>
          <w:color w:val="000000"/>
          <w:sz w:val="22"/>
          <w:szCs w:val="22"/>
        </w:rPr>
      </w:pPr>
      <w:r w:rsidRPr="008D7806">
        <w:rPr>
          <w:color w:val="000000"/>
          <w:sz w:val="22"/>
          <w:szCs w:val="22"/>
        </w:rPr>
        <w:t xml:space="preserve"> - </w:t>
      </w:r>
      <w:r w:rsidR="00E36B53" w:rsidRPr="008D7806">
        <w:rPr>
          <w:color w:val="000000"/>
          <w:sz w:val="22"/>
          <w:szCs w:val="22"/>
        </w:rPr>
        <w:t xml:space="preserve">техническое описание и инструкция по монтажу и эксплуатации </w:t>
      </w:r>
      <w:r w:rsidRPr="008D7806">
        <w:rPr>
          <w:color w:val="000000"/>
          <w:sz w:val="22"/>
          <w:szCs w:val="22"/>
        </w:rPr>
        <w:t>в 1 экз.;</w:t>
      </w:r>
    </w:p>
    <w:p w:rsidR="008E69C6" w:rsidRPr="008D7806" w:rsidRDefault="008E69C6" w:rsidP="00C859D3">
      <w:pPr>
        <w:tabs>
          <w:tab w:val="left" w:pos="0"/>
          <w:tab w:val="left" w:pos="851"/>
        </w:tabs>
        <w:ind w:firstLine="284"/>
        <w:rPr>
          <w:color w:val="000000"/>
          <w:sz w:val="22"/>
          <w:szCs w:val="22"/>
        </w:rPr>
      </w:pPr>
      <w:r w:rsidRPr="008D7806">
        <w:rPr>
          <w:color w:val="000000"/>
          <w:sz w:val="22"/>
          <w:szCs w:val="22"/>
        </w:rPr>
        <w:t xml:space="preserve"> - </w:t>
      </w:r>
      <w:r w:rsidR="00E36B53" w:rsidRPr="008D7806">
        <w:rPr>
          <w:color w:val="000000"/>
          <w:sz w:val="22"/>
          <w:szCs w:val="22"/>
        </w:rPr>
        <w:t>комплект чертежей, необходимый для строительно-монтажных работ</w:t>
      </w:r>
      <w:r w:rsidRPr="008D7806">
        <w:rPr>
          <w:color w:val="000000"/>
          <w:sz w:val="22"/>
          <w:szCs w:val="22"/>
        </w:rPr>
        <w:t xml:space="preserve"> в 1 экз.;</w:t>
      </w:r>
    </w:p>
    <w:p w:rsidR="00E36B53" w:rsidRPr="008D7806" w:rsidRDefault="00E36B53" w:rsidP="00C859D3">
      <w:pPr>
        <w:tabs>
          <w:tab w:val="left" w:pos="0"/>
          <w:tab w:val="left" w:pos="851"/>
        </w:tabs>
        <w:ind w:firstLine="284"/>
        <w:rPr>
          <w:color w:val="000000"/>
          <w:sz w:val="22"/>
          <w:szCs w:val="22"/>
        </w:rPr>
      </w:pPr>
      <w:r w:rsidRPr="008D7806">
        <w:rPr>
          <w:color w:val="000000"/>
          <w:sz w:val="22"/>
          <w:szCs w:val="22"/>
        </w:rPr>
        <w:t xml:space="preserve"> - комплектовочно - отгрузочную документацию в 1 экз.;</w:t>
      </w:r>
    </w:p>
    <w:p w:rsidR="00E36B53" w:rsidRPr="008D7806" w:rsidRDefault="00E36B53" w:rsidP="00C859D3">
      <w:pPr>
        <w:tabs>
          <w:tab w:val="left" w:pos="0"/>
          <w:tab w:val="left" w:pos="851"/>
        </w:tabs>
        <w:ind w:firstLine="284"/>
        <w:rPr>
          <w:color w:val="000000"/>
          <w:sz w:val="22"/>
          <w:szCs w:val="22"/>
        </w:rPr>
      </w:pPr>
      <w:r w:rsidRPr="008D7806">
        <w:rPr>
          <w:color w:val="000000"/>
          <w:sz w:val="22"/>
          <w:szCs w:val="22"/>
        </w:rPr>
        <w:t xml:space="preserve"> - паспорт на изделие (КТПБ-35) в 1 экз.;</w:t>
      </w:r>
    </w:p>
    <w:p w:rsidR="00E36B53" w:rsidRPr="008D7806" w:rsidRDefault="00E36B53" w:rsidP="00C859D3">
      <w:pPr>
        <w:tabs>
          <w:tab w:val="left" w:pos="0"/>
          <w:tab w:val="left" w:pos="851"/>
        </w:tabs>
        <w:ind w:firstLine="284"/>
        <w:rPr>
          <w:color w:val="000000"/>
          <w:sz w:val="22"/>
          <w:szCs w:val="22"/>
        </w:rPr>
      </w:pPr>
      <w:r w:rsidRPr="008D7806">
        <w:rPr>
          <w:color w:val="000000"/>
          <w:sz w:val="22"/>
          <w:szCs w:val="22"/>
        </w:rPr>
        <w:lastRenderedPageBreak/>
        <w:t xml:space="preserve"> - паспорта, инструкции, руководства по эксплуатации на комплектующее оборудование и аппаратуру в составе блоков по 1 экз.;</w:t>
      </w:r>
    </w:p>
    <w:p w:rsidR="008E69C6" w:rsidRPr="008E69C6" w:rsidRDefault="008E69C6" w:rsidP="00C859D3">
      <w:pPr>
        <w:tabs>
          <w:tab w:val="left" w:pos="0"/>
          <w:tab w:val="left" w:pos="851"/>
        </w:tabs>
        <w:ind w:firstLine="284"/>
        <w:rPr>
          <w:b/>
          <w:color w:val="000000"/>
          <w:sz w:val="22"/>
          <w:szCs w:val="22"/>
        </w:rPr>
      </w:pPr>
      <w:r w:rsidRPr="008D7806">
        <w:rPr>
          <w:color w:val="000000"/>
          <w:sz w:val="22"/>
          <w:szCs w:val="22"/>
        </w:rPr>
        <w:t xml:space="preserve"> - ведомость ЗИП в виде отдельного документа или как составная часть паспорта или формуляра в 1 экз.</w:t>
      </w:r>
      <w:r>
        <w:rPr>
          <w:color w:val="000000"/>
          <w:sz w:val="22"/>
          <w:szCs w:val="22"/>
        </w:rPr>
        <w:t xml:space="preserve">  </w:t>
      </w:r>
    </w:p>
    <w:p w:rsidR="0041756A" w:rsidRPr="00255086" w:rsidRDefault="0041756A" w:rsidP="0041756A">
      <w:pPr>
        <w:shd w:val="clear" w:color="auto" w:fill="FFFFFF"/>
        <w:jc w:val="center"/>
        <w:rPr>
          <w:b/>
          <w:bCs/>
          <w:i/>
          <w:iCs/>
          <w:color w:val="000000"/>
          <w:sz w:val="22"/>
          <w:szCs w:val="22"/>
        </w:rPr>
      </w:pPr>
    </w:p>
    <w:p w:rsidR="00E36B53" w:rsidRDefault="00E36B53" w:rsidP="00040913">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8660E" w:rsidRDefault="00436EE9" w:rsidP="0008660E">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 xml:space="preserve">Сумма договора составляет  ____________ руб. (_______________) __ копеек с учетом  транспортных расходов, кроме того НДС, исчисляемый в соответствии с действующим законодательством. </w:t>
      </w:r>
    </w:p>
    <w:p w:rsidR="00EA5EFE" w:rsidRPr="00DC2D56" w:rsidRDefault="00EA5EFE" w:rsidP="0008660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sidR="00E36B53">
        <w:rPr>
          <w:sz w:val="22"/>
          <w:szCs w:val="22"/>
        </w:rPr>
        <w:t>удование, согласно спецификации</w:t>
      </w:r>
      <w:r w:rsidRPr="00255086">
        <w:rPr>
          <w:sz w:val="22"/>
          <w:szCs w:val="22"/>
        </w:rPr>
        <w:t xml:space="preserve"> № 1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w:t>
      </w:r>
      <w:r w:rsidR="00E36B53">
        <w:rPr>
          <w:color w:val="000000"/>
          <w:sz w:val="22"/>
          <w:szCs w:val="22"/>
        </w:rPr>
        <w:t>ами, чем предусмотренными п. 4.3</w:t>
      </w:r>
      <w:r w:rsidRPr="00255086">
        <w:rPr>
          <w:color w:val="000000"/>
          <w:sz w:val="22"/>
          <w:szCs w:val="22"/>
        </w:rPr>
        <w:t>.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0F47AE" w:rsidRPr="00255086" w:rsidRDefault="005575CC" w:rsidP="005575CC">
      <w:pPr>
        <w:ind w:firstLine="284"/>
        <w:rPr>
          <w:color w:val="000000"/>
          <w:sz w:val="22"/>
          <w:szCs w:val="22"/>
        </w:rPr>
      </w:pPr>
      <w:r>
        <w:rPr>
          <w:b/>
          <w:color w:val="000000"/>
          <w:sz w:val="22"/>
          <w:szCs w:val="22"/>
        </w:rPr>
        <w:t>5</w:t>
      </w:r>
      <w:r w:rsidR="0008660E">
        <w:rPr>
          <w:b/>
          <w:color w:val="000000"/>
          <w:sz w:val="22"/>
          <w:szCs w:val="22"/>
        </w:rPr>
        <w:t>.1</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08660E">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w:t>
      </w:r>
      <w:r w:rsidR="001B45F8" w:rsidRPr="00255086">
        <w:rPr>
          <w:color w:val="000000"/>
          <w:sz w:val="22"/>
          <w:szCs w:val="22"/>
        </w:rPr>
        <w:lastRenderedPageBreak/>
        <w:t>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5</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Default="0008660E" w:rsidP="008654F4">
      <w:pPr>
        <w:tabs>
          <w:tab w:val="left" w:pos="284"/>
        </w:tabs>
        <w:ind w:firstLine="284"/>
        <w:rPr>
          <w:sz w:val="22"/>
        </w:rPr>
      </w:pPr>
      <w:r>
        <w:rPr>
          <w:b/>
          <w:sz w:val="22"/>
        </w:rPr>
        <w:t>5.6</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6F4F56" w:rsidRPr="001A7D1B" w:rsidRDefault="006F4F56" w:rsidP="006F4F56">
      <w:pPr>
        <w:pStyle w:val="a8"/>
        <w:tabs>
          <w:tab w:val="left" w:pos="851"/>
        </w:tabs>
        <w:ind w:left="0" w:firstLine="284"/>
        <w:rPr>
          <w:color w:val="000000"/>
          <w:sz w:val="22"/>
          <w:szCs w:val="22"/>
        </w:rPr>
      </w:pPr>
      <w:r>
        <w:rPr>
          <w:sz w:val="22"/>
        </w:rPr>
        <w:t xml:space="preserve">5.7. </w:t>
      </w:r>
      <w:r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6F4F56" w:rsidRPr="00255086" w:rsidRDefault="006F4F56" w:rsidP="008654F4">
      <w:pPr>
        <w:tabs>
          <w:tab w:val="left" w:pos="284"/>
        </w:tabs>
        <w:ind w:firstLine="284"/>
        <w:rPr>
          <w:color w:val="000000"/>
          <w:sz w:val="22"/>
          <w:szCs w:val="22"/>
        </w:rPr>
      </w:pPr>
      <w:bookmarkStart w:id="0" w:name="_GoBack"/>
      <w:bookmarkEnd w:id="0"/>
    </w:p>
    <w:p w:rsidR="002C78E9" w:rsidRPr="00255086" w:rsidRDefault="0008660E"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08660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08660E">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08660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08660E"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08660E"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08660E"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01AB0" w:rsidRPr="00AF4ABC" w:rsidRDefault="0008660E" w:rsidP="00AF4ABC">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255086" w:rsidRDefault="0008660E"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41756A" w:rsidRPr="00AF4ABC" w:rsidRDefault="0008660E" w:rsidP="00AF4ABC">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255086" w:rsidRDefault="0008660E"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08660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08660E"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08660E"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w:t>
      </w:r>
      <w:r w:rsidR="002C78E9" w:rsidRPr="00255086">
        <w:rPr>
          <w:sz w:val="22"/>
          <w:szCs w:val="22"/>
        </w:rPr>
        <w:lastRenderedPageBreak/>
        <w:t xml:space="preserve">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08660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08660E"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08660E"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08660E"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08660E"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08660E" w:rsidP="00224D07">
      <w:pPr>
        <w:widowControl w:val="0"/>
        <w:tabs>
          <w:tab w:val="left" w:pos="993"/>
        </w:tabs>
        <w:suppressAutoHyphens/>
        <w:ind w:firstLine="284"/>
        <w:contextualSpacing/>
        <w:rPr>
          <w:sz w:val="22"/>
          <w:szCs w:val="22"/>
        </w:rPr>
      </w:pPr>
      <w:r>
        <w:rPr>
          <w:b/>
          <w:sz w:val="22"/>
          <w:szCs w:val="22"/>
        </w:rPr>
        <w:t>9</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08660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08660E" w:rsidP="00F32289">
      <w:pPr>
        <w:tabs>
          <w:tab w:val="left" w:pos="993"/>
        </w:tabs>
        <w:suppressAutoHyphens/>
        <w:ind w:firstLine="284"/>
        <w:contextualSpacing/>
        <w:rPr>
          <w:sz w:val="22"/>
          <w:szCs w:val="22"/>
        </w:rPr>
      </w:pPr>
      <w:r>
        <w:rPr>
          <w:sz w:val="22"/>
          <w:szCs w:val="22"/>
        </w:rPr>
        <w:t>9</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08660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08660E">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lastRenderedPageBreak/>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08660E" w:rsidRDefault="0008660E" w:rsidP="00625976"/>
    <w:p w:rsidR="0008660E" w:rsidRDefault="0008660E" w:rsidP="00625976"/>
    <w:p w:rsidR="0008660E" w:rsidRDefault="0008660E" w:rsidP="00625976"/>
    <w:p w:rsidR="0008660E" w:rsidRDefault="0008660E"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200AF0">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A47A62" w:rsidP="006A0CC2">
            <w:pPr>
              <w:rPr>
                <w:sz w:val="23"/>
                <w:szCs w:val="23"/>
              </w:rPr>
            </w:pPr>
            <w:r w:rsidRPr="00A47A62">
              <w:t>Блоки комплектной трансформаторной подстанции  35кВ  в составе с оборудованием</w:t>
            </w:r>
            <w:r w:rsidRPr="00A47A62">
              <w:rPr>
                <w:b/>
              </w:rPr>
              <w:t xml:space="preserve"> </w:t>
            </w:r>
            <w:r w:rsidRPr="00A47A62">
              <w:t>на ПС 35/10кВ «Городская» или аналоги (согласно опросным листам и техническим данным Приложения №1)</w:t>
            </w: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08660E" w:rsidP="006A0CC2">
            <w:pPr>
              <w:jc w:val="center"/>
              <w:rPr>
                <w:sz w:val="23"/>
                <w:szCs w:val="23"/>
              </w:rPr>
            </w:pPr>
            <w:r>
              <w:rPr>
                <w:sz w:val="23"/>
                <w:szCs w:val="23"/>
              </w:rPr>
              <w:t>компл</w:t>
            </w:r>
            <w:r w:rsidR="006A0CC2" w:rsidRPr="00D516CC">
              <w:rPr>
                <w:sz w:val="23"/>
                <w:szCs w:val="23"/>
              </w:rPr>
              <w:t>.</w:t>
            </w:r>
          </w:p>
        </w:tc>
        <w:tc>
          <w:tcPr>
            <w:tcW w:w="567" w:type="dxa"/>
            <w:shd w:val="clear" w:color="auto" w:fill="auto"/>
            <w:vAlign w:val="center"/>
          </w:tcPr>
          <w:p w:rsidR="006A0CC2" w:rsidRPr="00D516CC" w:rsidRDefault="00A47A62" w:rsidP="006A0CC2">
            <w:pPr>
              <w:jc w:val="center"/>
              <w:rPr>
                <w:sz w:val="23"/>
                <w:szCs w:val="23"/>
              </w:rPr>
            </w:pPr>
            <w:r>
              <w:rPr>
                <w:sz w:val="23"/>
                <w:szCs w:val="23"/>
              </w:rPr>
              <w:t>1</w:t>
            </w: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A47A62" w:rsidRDefault="00A47A62" w:rsidP="003A19A0">
      <w:pPr>
        <w:widowControl w:val="0"/>
        <w:autoSpaceDE w:val="0"/>
        <w:autoSpaceDN w:val="0"/>
        <w:adjustRightInd w:val="0"/>
        <w:ind w:right="-2"/>
        <w:jc w:val="left"/>
        <w:rPr>
          <w:b/>
          <w:bCs/>
          <w:color w:val="000000"/>
          <w:spacing w:val="-1"/>
          <w:sz w:val="22"/>
          <w:szCs w:val="22"/>
        </w:rPr>
      </w:pPr>
    </w:p>
    <w:p w:rsidR="003A19A0" w:rsidRPr="003A19A0" w:rsidRDefault="003A19A0" w:rsidP="003A19A0">
      <w:pPr>
        <w:widowControl w:val="0"/>
        <w:autoSpaceDE w:val="0"/>
        <w:autoSpaceDN w:val="0"/>
        <w:adjustRightInd w:val="0"/>
        <w:ind w:right="-2"/>
        <w:jc w:val="left"/>
        <w:rPr>
          <w:b/>
          <w:bCs/>
          <w:color w:val="000000"/>
          <w:spacing w:val="-1"/>
          <w:sz w:val="22"/>
          <w:szCs w:val="22"/>
        </w:rPr>
      </w:pPr>
      <w:r w:rsidRPr="003A19A0">
        <w:rPr>
          <w:b/>
          <w:bCs/>
          <w:color w:val="000000"/>
          <w:spacing w:val="-1"/>
          <w:sz w:val="22"/>
          <w:szCs w:val="22"/>
        </w:rPr>
        <w:t>Грузополучатель</w:t>
      </w:r>
      <w:r w:rsidRPr="003A19A0">
        <w:rPr>
          <w:color w:val="000000"/>
          <w:spacing w:val="-1"/>
          <w:sz w:val="22"/>
          <w:szCs w:val="22"/>
        </w:rPr>
        <w:t xml:space="preserve">: </w:t>
      </w:r>
      <w:r w:rsidRPr="003A19A0">
        <w:rPr>
          <w:b/>
          <w:bCs/>
          <w:color w:val="000000"/>
          <w:spacing w:val="-1"/>
          <w:sz w:val="22"/>
          <w:szCs w:val="22"/>
        </w:rPr>
        <w:t xml:space="preserve"> филиал АО «ДРСК»   «Амурские электрические сети» </w:t>
      </w:r>
      <w:r w:rsidRPr="003A19A0">
        <w:rPr>
          <w:b/>
          <w:bCs/>
          <w:color w:val="000000"/>
          <w:spacing w:val="-1"/>
          <w:sz w:val="22"/>
          <w:szCs w:val="22"/>
          <w:u w:val="single"/>
        </w:rPr>
        <w:t>ИНН 2801108200, КПП 280102003</w:t>
      </w:r>
    </w:p>
    <w:p w:rsidR="003A19A0" w:rsidRPr="006A0CC2" w:rsidRDefault="003A19A0" w:rsidP="006A0CC2">
      <w:pPr>
        <w:widowControl w:val="0"/>
        <w:autoSpaceDE w:val="0"/>
        <w:autoSpaceDN w:val="0"/>
        <w:adjustRightInd w:val="0"/>
        <w:ind w:right="-2"/>
        <w:jc w:val="left"/>
        <w:rPr>
          <w:b/>
          <w:bCs/>
          <w:color w:val="000000"/>
          <w:spacing w:val="-1"/>
          <w:sz w:val="22"/>
          <w:szCs w:val="22"/>
        </w:rPr>
      </w:pPr>
      <w:r w:rsidRPr="003A19A0">
        <w:rPr>
          <w:bCs/>
          <w:color w:val="000000"/>
          <w:spacing w:val="-1"/>
          <w:sz w:val="22"/>
          <w:szCs w:val="22"/>
        </w:rPr>
        <w:t>675003, Амурская обл., г.  Благовещенск, ул. Театральная, 179</w:t>
      </w:r>
    </w:p>
    <w:p w:rsidR="003A19A0" w:rsidRPr="003A19A0" w:rsidRDefault="003A19A0" w:rsidP="003A19A0">
      <w:pPr>
        <w:autoSpaceDE w:val="0"/>
        <w:autoSpaceDN w:val="0"/>
        <w:ind w:right="-2"/>
        <w:jc w:val="left"/>
        <w:rPr>
          <w:rFonts w:eastAsia="Calibri"/>
          <w:b/>
          <w:bCs/>
          <w:color w:val="000000"/>
          <w:spacing w:val="-1"/>
          <w:sz w:val="22"/>
          <w:szCs w:val="22"/>
        </w:rPr>
      </w:pPr>
      <w:r w:rsidRPr="003A19A0">
        <w:rPr>
          <w:rFonts w:eastAsia="Calibri"/>
          <w:b/>
          <w:bCs/>
          <w:color w:val="000000"/>
          <w:spacing w:val="-1"/>
          <w:sz w:val="22"/>
          <w:szCs w:val="22"/>
        </w:rPr>
        <w:t xml:space="preserve">Отгрузочные реквизиты: </w:t>
      </w:r>
      <w:r w:rsidRPr="003A19A0">
        <w:rPr>
          <w:color w:val="000000"/>
          <w:spacing w:val="-1"/>
        </w:rPr>
        <w:t>станция Благовещенск Заб. Ж.Д. код - 954704</w:t>
      </w:r>
    </w:p>
    <w:p w:rsidR="002C78E9" w:rsidRDefault="003A19A0" w:rsidP="006A0CC2">
      <w:pPr>
        <w:widowControl w:val="0"/>
        <w:autoSpaceDE w:val="0"/>
        <w:autoSpaceDN w:val="0"/>
        <w:adjustRightInd w:val="0"/>
        <w:ind w:right="-2"/>
        <w:jc w:val="left"/>
        <w:rPr>
          <w:color w:val="000000"/>
          <w:spacing w:val="-1"/>
        </w:rPr>
      </w:pPr>
      <w:r w:rsidRPr="003A19A0">
        <w:rPr>
          <w:color w:val="000000"/>
          <w:spacing w:val="-1"/>
        </w:rPr>
        <w:t>Код предприятия – 9533, ОКПО – 97987579</w:t>
      </w:r>
    </w:p>
    <w:p w:rsidR="006A0CC2" w:rsidRPr="006A0CC2" w:rsidRDefault="006A0CC2"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8E69C6" w:rsidRDefault="008E69C6" w:rsidP="0008660E">
      <w:pPr>
        <w:tabs>
          <w:tab w:val="left" w:pos="1725"/>
        </w:tabs>
        <w:rPr>
          <w:b/>
          <w:sz w:val="22"/>
          <w:szCs w:val="22"/>
        </w:rPr>
      </w:pPr>
    </w:p>
    <w:p w:rsidR="008E69C6" w:rsidRDefault="008E69C6"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2C78E9" w:rsidRPr="00255086" w:rsidRDefault="002C78E9"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EC6" w:rsidRDefault="001C1EC6" w:rsidP="00070A4C">
      <w:r>
        <w:separator/>
      </w:r>
    </w:p>
  </w:endnote>
  <w:endnote w:type="continuationSeparator" w:id="0">
    <w:p w:rsidR="001C1EC6" w:rsidRDefault="001C1EC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EC6" w:rsidRDefault="001C1EC6" w:rsidP="00070A4C">
      <w:r>
        <w:separator/>
      </w:r>
    </w:p>
  </w:footnote>
  <w:footnote w:type="continuationSeparator" w:id="0">
    <w:p w:rsidR="001C1EC6" w:rsidRDefault="001C1EC6"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60E"/>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1EC6"/>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2F641A"/>
    <w:rsid w:val="00316C19"/>
    <w:rsid w:val="00324693"/>
    <w:rsid w:val="00334D3C"/>
    <w:rsid w:val="003537B0"/>
    <w:rsid w:val="00355B00"/>
    <w:rsid w:val="0037436C"/>
    <w:rsid w:val="0037676A"/>
    <w:rsid w:val="0038186F"/>
    <w:rsid w:val="00391611"/>
    <w:rsid w:val="00391CF2"/>
    <w:rsid w:val="00393FA6"/>
    <w:rsid w:val="003A19A0"/>
    <w:rsid w:val="003A4EF8"/>
    <w:rsid w:val="003D60AE"/>
    <w:rsid w:val="003E310D"/>
    <w:rsid w:val="003E456A"/>
    <w:rsid w:val="003E4722"/>
    <w:rsid w:val="003F14A7"/>
    <w:rsid w:val="003F26C8"/>
    <w:rsid w:val="003F3F80"/>
    <w:rsid w:val="00402798"/>
    <w:rsid w:val="0041756A"/>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4373"/>
    <w:rsid w:val="004A636D"/>
    <w:rsid w:val="004A6E33"/>
    <w:rsid w:val="004B0F65"/>
    <w:rsid w:val="004B1973"/>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23CF1"/>
    <w:rsid w:val="00536FC9"/>
    <w:rsid w:val="00541340"/>
    <w:rsid w:val="005575CC"/>
    <w:rsid w:val="0057671C"/>
    <w:rsid w:val="005A0B91"/>
    <w:rsid w:val="005A4CD1"/>
    <w:rsid w:val="005B2F5F"/>
    <w:rsid w:val="005B4BF0"/>
    <w:rsid w:val="005B629C"/>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2D59"/>
    <w:rsid w:val="006E3143"/>
    <w:rsid w:val="006F0CFB"/>
    <w:rsid w:val="006F4F56"/>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D7806"/>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47A62"/>
    <w:rsid w:val="00A6121B"/>
    <w:rsid w:val="00A73728"/>
    <w:rsid w:val="00A90031"/>
    <w:rsid w:val="00A97058"/>
    <w:rsid w:val="00AB3B6A"/>
    <w:rsid w:val="00AB522B"/>
    <w:rsid w:val="00AD06A1"/>
    <w:rsid w:val="00AD7DE2"/>
    <w:rsid w:val="00AF114D"/>
    <w:rsid w:val="00AF4ABC"/>
    <w:rsid w:val="00B00F79"/>
    <w:rsid w:val="00B01F7D"/>
    <w:rsid w:val="00B2000A"/>
    <w:rsid w:val="00B24A69"/>
    <w:rsid w:val="00B3211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23E60"/>
    <w:rsid w:val="00C36499"/>
    <w:rsid w:val="00C37DCA"/>
    <w:rsid w:val="00C45918"/>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2770"/>
    <w:rsid w:val="00E21CE1"/>
    <w:rsid w:val="00E226F4"/>
    <w:rsid w:val="00E23291"/>
    <w:rsid w:val="00E3213E"/>
    <w:rsid w:val="00E36B53"/>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44F0"/>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907EA"/>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D142E-E4C5-4804-B256-82F85A153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4750</Words>
  <Characters>27081</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3</cp:revision>
  <cp:lastPrinted>2017-02-21T05:08:00Z</cp:lastPrinted>
  <dcterms:created xsi:type="dcterms:W3CDTF">2018-12-04T05:01:00Z</dcterms:created>
  <dcterms:modified xsi:type="dcterms:W3CDTF">2018-12-04T05:02:00Z</dcterms:modified>
</cp:coreProperties>
</file>