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E56672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 xml:space="preserve">запросу предложений в </w:t>
      </w:r>
      <w:r w:rsidR="0012780F" w:rsidRPr="0012780F">
        <w:rPr>
          <w:b/>
          <w:sz w:val="26"/>
          <w:szCs w:val="26"/>
        </w:rPr>
        <w:t>«Проведение технического обследования воздушного перехода ч/з пролив Босфор Восточный филиала ПЭС»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12780F" w:rsidRPr="0012780F">
        <w:rPr>
          <w:b/>
          <w:i/>
        </w:rPr>
        <w:t>1167</w:t>
      </w:r>
      <w:r w:rsidRPr="0042381B">
        <w:rPr>
          <w:b/>
          <w:sz w:val="26"/>
          <w:szCs w:val="26"/>
        </w:rPr>
        <w:t>)</w:t>
      </w:r>
    </w:p>
    <w:p w:rsidR="00982AC2" w:rsidRPr="0042381B" w:rsidRDefault="0012780F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                                                                                               от «0</w:t>
      </w:r>
      <w:r w:rsidR="002E2E4F">
        <w:rPr>
          <w:b/>
          <w:sz w:val="26"/>
          <w:szCs w:val="26"/>
        </w:rPr>
        <w:t>9</w:t>
      </w:r>
      <w:bookmarkStart w:id="0" w:name="_GoBack"/>
      <w:bookmarkEnd w:id="0"/>
      <w:r>
        <w:rPr>
          <w:b/>
          <w:sz w:val="26"/>
          <w:szCs w:val="26"/>
        </w:rPr>
        <w:t xml:space="preserve">» ноября 2018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CF1F8B" w:rsidRPr="00907CDB">
        <w:rPr>
          <w:sz w:val="24"/>
        </w:rPr>
        <w:t xml:space="preserve">Открытый </w:t>
      </w:r>
      <w:r w:rsidR="004F460F" w:rsidRPr="00907CDB">
        <w:rPr>
          <w:sz w:val="24"/>
        </w:rPr>
        <w:t>запрос предложений</w:t>
      </w:r>
      <w:r w:rsidR="00142C0F" w:rsidRPr="00907CDB">
        <w:rPr>
          <w:sz w:val="24"/>
        </w:rPr>
        <w:t xml:space="preserve"> на право заключения договора:</w:t>
      </w:r>
      <w:r w:rsidR="00142C0F" w:rsidRPr="00907CDB">
        <w:rPr>
          <w:b/>
          <w:bCs/>
          <w:i/>
          <w:iCs/>
          <w:sz w:val="24"/>
        </w:rPr>
        <w:t xml:space="preserve"> </w:t>
      </w:r>
      <w:r w:rsidR="0012780F" w:rsidRPr="0012780F">
        <w:rPr>
          <w:sz w:val="24"/>
        </w:rPr>
        <w:t xml:space="preserve">«Проведение технического обследования воздушного перехода </w:t>
      </w:r>
      <w:proofErr w:type="gramStart"/>
      <w:r w:rsidR="0012780F" w:rsidRPr="0012780F">
        <w:rPr>
          <w:sz w:val="24"/>
        </w:rPr>
        <w:t>ч</w:t>
      </w:r>
      <w:proofErr w:type="gramEnd"/>
      <w:r w:rsidR="0012780F" w:rsidRPr="0012780F">
        <w:rPr>
          <w:sz w:val="24"/>
        </w:rPr>
        <w:t>/з пролив Босфор Восточный филиала ПЭС»</w:t>
      </w:r>
      <w:r w:rsidR="00982AC2">
        <w:rPr>
          <w:sz w:val="24"/>
        </w:rPr>
        <w:t>, лот №</w:t>
      </w:r>
      <w:r w:rsidR="0012780F">
        <w:rPr>
          <w:sz w:val="24"/>
        </w:rPr>
        <w:t>1167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1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12780F">
        <w:rPr>
          <w:sz w:val="24"/>
        </w:rPr>
        <w:t xml:space="preserve">31.10.2018 </w:t>
      </w:r>
      <w:r w:rsidR="000D431E" w:rsidRPr="00C72282">
        <w:rPr>
          <w:sz w:val="24"/>
        </w:rPr>
        <w:t xml:space="preserve">№ </w:t>
      </w:r>
      <w:r w:rsidR="0012780F">
        <w:rPr>
          <w:sz w:val="24"/>
        </w:rPr>
        <w:t>31807089360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73763E" w:rsidRPr="00E56672" w:rsidRDefault="00E56672" w:rsidP="00E5667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line="240" w:lineRule="auto"/>
        <w:ind w:left="0" w:firstLine="360"/>
        <w:rPr>
          <w:sz w:val="24"/>
        </w:rPr>
      </w:pPr>
      <w:r w:rsidRPr="00145484">
        <w:rPr>
          <w:b/>
          <w:sz w:val="24"/>
        </w:rPr>
        <w:t>Первый абзац пункта 6.1 Технического задания</w:t>
      </w:r>
      <w:r w:rsidR="00990282" w:rsidRPr="00145484">
        <w:rPr>
          <w:b/>
          <w:sz w:val="24"/>
        </w:rPr>
        <w:t xml:space="preserve"> </w:t>
      </w:r>
      <w:r w:rsidR="00145484">
        <w:rPr>
          <w:b/>
          <w:sz w:val="24"/>
        </w:rPr>
        <w:t>(Приложение</w:t>
      </w:r>
      <w:r w:rsidRPr="00145484">
        <w:rPr>
          <w:b/>
          <w:sz w:val="24"/>
        </w:rPr>
        <w:t xml:space="preserve"> № 1 к </w:t>
      </w:r>
      <w:proofErr w:type="spellStart"/>
      <w:r w:rsidRPr="00145484">
        <w:rPr>
          <w:b/>
          <w:sz w:val="24"/>
        </w:rPr>
        <w:t>ДоЗ</w:t>
      </w:r>
      <w:proofErr w:type="spellEnd"/>
      <w:r w:rsidRPr="00145484">
        <w:rPr>
          <w:b/>
          <w:sz w:val="24"/>
        </w:rPr>
        <w:t xml:space="preserve"> Технические требования</w:t>
      </w:r>
      <w:r w:rsidR="00145484">
        <w:rPr>
          <w:b/>
          <w:sz w:val="24"/>
        </w:rPr>
        <w:t>)</w:t>
      </w:r>
      <w:r>
        <w:rPr>
          <w:b/>
          <w:i/>
          <w:sz w:val="24"/>
        </w:rPr>
        <w:t xml:space="preserve"> </w:t>
      </w:r>
      <w:r w:rsidR="0073763E" w:rsidRPr="00737206">
        <w:rPr>
          <w:sz w:val="24"/>
        </w:rPr>
        <w:t xml:space="preserve">читать в следующей редакции: </w:t>
      </w:r>
      <w:r w:rsidRPr="00E56672">
        <w:rPr>
          <w:sz w:val="24"/>
        </w:rPr>
        <w:t>Участник должен являться членом саморегулируемой организации (СРО) в области архитектурно-строительного проектирования и в области инженерных изысканий, зарегистрированной в установленном по месту</w:t>
      </w:r>
      <w:r>
        <w:rPr>
          <w:sz w:val="24"/>
        </w:rPr>
        <w:t xml:space="preserve"> </w:t>
      </w:r>
      <w:r w:rsidRPr="00E56672">
        <w:rPr>
          <w:sz w:val="24"/>
        </w:rPr>
        <w:t>(в том субъекте РФ) регистрации Участника (с учетом исключений, предусмотренных законодательством Российской Федерации)</w:t>
      </w:r>
      <w:r w:rsidR="0073763E" w:rsidRPr="00E56672">
        <w:rPr>
          <w:b/>
          <w:i/>
          <w:sz w:val="24"/>
        </w:rPr>
        <w:t>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E56672" w:rsidRDefault="00E56672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38" w:rsidRDefault="001D0A38" w:rsidP="00967AC6">
      <w:r>
        <w:separator/>
      </w:r>
    </w:p>
  </w:endnote>
  <w:endnote w:type="continuationSeparator" w:id="0">
    <w:p w:rsidR="001D0A38" w:rsidRDefault="001D0A3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38" w:rsidRDefault="001D0A38" w:rsidP="00967AC6">
      <w:r>
        <w:separator/>
      </w:r>
    </w:p>
  </w:footnote>
  <w:footnote w:type="continuationSeparator" w:id="0">
    <w:p w:rsidR="001D0A38" w:rsidRDefault="001D0A3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2780F"/>
    <w:rsid w:val="00141AE9"/>
    <w:rsid w:val="00142C0F"/>
    <w:rsid w:val="00145484"/>
    <w:rsid w:val="001645C1"/>
    <w:rsid w:val="00164974"/>
    <w:rsid w:val="00177DAD"/>
    <w:rsid w:val="00181783"/>
    <w:rsid w:val="00196CFF"/>
    <w:rsid w:val="001A536C"/>
    <w:rsid w:val="001C0148"/>
    <w:rsid w:val="001D0A38"/>
    <w:rsid w:val="002002AD"/>
    <w:rsid w:val="0024039E"/>
    <w:rsid w:val="00247972"/>
    <w:rsid w:val="002A2E0D"/>
    <w:rsid w:val="002A36F5"/>
    <w:rsid w:val="002A39D5"/>
    <w:rsid w:val="002B31EB"/>
    <w:rsid w:val="002D497B"/>
    <w:rsid w:val="002E2E4F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90282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968F1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5667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11</cp:revision>
  <cp:lastPrinted>2018-06-19T01:11:00Z</cp:lastPrinted>
  <dcterms:created xsi:type="dcterms:W3CDTF">2018-06-20T00:39:00Z</dcterms:created>
  <dcterms:modified xsi:type="dcterms:W3CDTF">2018-11-09T00:08:00Z</dcterms:modified>
</cp:coreProperties>
</file>